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720" w:lineRule="exact"/>
        <w:ind w:firstLine="0" w:firstLineChars="0"/>
        <w:jc w:val="center"/>
        <w:rPr>
          <w:rFonts w:ascii="Times New Roman" w:hAnsi="Times New Roman" w:eastAsia="方正小标宋简体"/>
          <w:bCs/>
          <w:color w:val="000000"/>
          <w:sz w:val="44"/>
          <w:szCs w:val="44"/>
          <w:lang w:bidi="ar-SA"/>
        </w:rPr>
      </w:pPr>
      <w:r>
        <w:rPr>
          <w:rFonts w:ascii="Times New Roman" w:hAnsi="Times New Roman" w:eastAsia="方正小标宋简体"/>
          <w:bCs/>
          <w:color w:val="000000"/>
          <w:sz w:val="44"/>
          <w:szCs w:val="44"/>
          <w:lang w:bidi="ar-SA"/>
        </w:rPr>
        <w:t>攀枝花市发展和改革委员会</w:t>
      </w:r>
    </w:p>
    <w:p>
      <w:pPr>
        <w:spacing w:beforeAutospacing="0" w:afterAutospacing="0" w:line="720" w:lineRule="exact"/>
        <w:ind w:firstLine="0" w:firstLineChars="0"/>
        <w:jc w:val="center"/>
        <w:rPr>
          <w:rFonts w:ascii="Times New Roman" w:hAnsi="Times New Roman" w:eastAsia="方正小标宋简体"/>
          <w:sz w:val="44"/>
          <w:szCs w:val="44"/>
          <w:lang w:bidi="ar-SA"/>
        </w:rPr>
      </w:pPr>
      <w:r>
        <w:rPr>
          <w:rFonts w:ascii="Times New Roman" w:hAnsi="Times New Roman" w:eastAsia="方正小标宋简体"/>
          <w:sz w:val="44"/>
          <w:szCs w:val="44"/>
          <w:lang w:bidi="ar-SA"/>
        </w:rPr>
        <w:t>关于印发《攀枝花市企业投资项目承诺制</w:t>
      </w:r>
    </w:p>
    <w:p>
      <w:pPr>
        <w:spacing w:beforeAutospacing="0" w:afterAutospacing="0" w:line="720" w:lineRule="exact"/>
        <w:ind w:firstLine="0" w:firstLineChars="0"/>
        <w:jc w:val="center"/>
        <w:rPr>
          <w:rFonts w:hint="eastAsia" w:eastAsia="仿宋_GB2312"/>
          <w:sz w:val="32"/>
        </w:rPr>
      </w:pPr>
      <w:r>
        <w:rPr>
          <w:rFonts w:ascii="Times New Roman" w:hAnsi="Times New Roman" w:eastAsia="方正小标宋简体"/>
          <w:sz w:val="44"/>
          <w:szCs w:val="44"/>
          <w:lang w:bidi="ar-SA"/>
        </w:rPr>
        <w:t>实施办法》的通知</w:t>
      </w:r>
    </w:p>
    <w:p>
      <w:pPr>
        <w:spacing w:beforeAutospacing="0" w:afterAutospacing="0" w:line="360" w:lineRule="auto"/>
        <w:ind w:firstLine="0" w:firstLineChars="0"/>
        <w:jc w:val="both"/>
        <w:rPr>
          <w:rFonts w:hint="eastAsia" w:eastAsia="仿宋_GB2312"/>
          <w:sz w:val="32"/>
        </w:rPr>
      </w:pPr>
    </w:p>
    <w:p>
      <w:pPr>
        <w:spacing w:beforeAutospacing="0" w:afterAutospacing="0" w:line="360" w:lineRule="auto"/>
        <w:ind w:firstLine="19" w:firstLineChars="6"/>
        <w:jc w:val="center"/>
        <w:rPr>
          <w:rFonts w:eastAsia="仿宋_GB2312"/>
          <w:sz w:val="32"/>
        </w:rPr>
      </w:pPr>
      <w:r>
        <w:rPr>
          <w:rFonts w:eastAsia="仿宋_GB2312"/>
          <w:sz w:val="32"/>
        </w:rPr>
        <w:t>攀发改审批〔2022〕</w:t>
      </w:r>
      <w:r>
        <w:rPr>
          <w:rFonts w:hint="eastAsia" w:eastAsia="仿宋_GB2312"/>
          <w:sz w:val="32"/>
          <w:lang w:val="en-US" w:eastAsia="zh-CN"/>
        </w:rPr>
        <w:t>21</w:t>
      </w:r>
      <w:r>
        <w:rPr>
          <w:rFonts w:eastAsia="仿宋_GB2312"/>
          <w:sz w:val="32"/>
        </w:rPr>
        <w:t>号</w:t>
      </w:r>
    </w:p>
    <w:p>
      <w:pPr>
        <w:spacing w:beforeAutospacing="0" w:afterAutospacing="0" w:line="360" w:lineRule="auto"/>
        <w:ind w:firstLine="0" w:firstLineChars="0"/>
        <w:jc w:val="both"/>
        <w:rPr>
          <w:rFonts w:eastAsia="仿宋_GB2312"/>
          <w:sz w:val="30"/>
          <w:szCs w:val="30"/>
        </w:rPr>
      </w:pPr>
      <w:r>
        <w:rPr>
          <w:rFonts w:eastAsia="仿宋_GB2312"/>
          <w:sz w:val="30"/>
          <w:szCs w:val="30"/>
        </w:rPr>
        <mc:AlternateContent>
          <mc:Choice Requires="wps">
            <w:drawing>
              <wp:anchor distT="0" distB="0" distL="0" distR="0" simplePos="0" relativeHeight="251136000" behindDoc="1" locked="0" layoutInCell="1" allowOverlap="1">
                <wp:simplePos x="0" y="0"/>
                <wp:positionH relativeFrom="column">
                  <wp:posOffset>0</wp:posOffset>
                </wp:positionH>
                <wp:positionV relativeFrom="page">
                  <wp:posOffset>0</wp:posOffset>
                </wp:positionV>
                <wp:extent cx="5549900" cy="12700"/>
                <wp:effectExtent l="0" t="4445" r="12700" b="11430"/>
                <wp:wrapNone/>
                <wp:docPr id="2" name="_x0000_s1026"/>
                <wp:cNvGraphicFramePr/>
                <a:graphic xmlns:a="http://schemas.openxmlformats.org/drawingml/2006/main">
                  <a:graphicData uri="http://schemas.microsoft.com/office/word/2010/wordprocessingShape">
                    <wps:wsp>
                      <wps:cNvCnPr/>
                      <wps:spPr>
                        <a:xfrm>
                          <a:off x="0" y="4191000"/>
                          <a:ext cx="5549900" cy="12700"/>
                        </a:xfrm>
                        <a:prstGeom prst="line">
                          <a:avLst/>
                        </a:prstGeom>
                        <a:ln>
                          <a:solidFill>
                            <a:srgbClr val="FF0000"/>
                          </a:solidFill>
                          <a:prstDash val="solid"/>
                        </a:ln>
                      </wps:spPr>
                      <wps:bodyPr rot="0" vert="horz" wrap="square" lIns="0" tIns="0" rIns="0" bIns="0" anchor="t" anchorCtr="false"/>
                    </wps:wsp>
                  </a:graphicData>
                </a:graphic>
              </wp:anchor>
            </w:drawing>
          </mc:Choice>
          <mc:Fallback>
            <w:pict>
              <v:line id="_x0000_s1026" o:spid="_x0000_s1026" o:spt="20" style="position:absolute;left:0pt;margin-left:0pt;margin-top:0pt;height:1pt;width:437pt;mso-position-vertical-relative:page;z-index:-252180480;mso-width-relative:page;mso-height-relative:page;" filled="f" stroked="t" coordsize="21600,21600" o:gfxdata="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ikbOO0gAAAAMBAAAPAAAAAAAAAAEA&#10;IAAAADgAAABkcnMvZG93bnJldi54bWxQSwECFAAUAAAACACHTuJAremPb8YBAAB/AwAADgAAAAAA&#10;AAABACAAAAA3AQAAZHJzL2Uyb0RvYy54bWxQSwUGAAAAAAYABgBZAQAAbwUAAAAA&#10;">
                <v:fill on="f" focussize="0,0"/>
                <v:stroke color="#FF0000" joinstyle="round"/>
                <v:imagedata o:title=""/>
                <o:lock v:ext="edit" aspectratio="f"/>
              </v:line>
            </w:pict>
          </mc:Fallback>
        </mc:AlternateContent>
      </w:r>
    </w:p>
    <w:p>
      <w:pPr>
        <w:rPr>
          <w:rFonts w:ascii="Times New Roman" w:hAnsi="Times New Roman" w:eastAsia="仿宋_GB2312"/>
          <w:sz w:val="32"/>
          <w:szCs w:val="32"/>
        </w:rPr>
      </w:pPr>
    </w:p>
    <w:p>
      <w:pPr>
        <w:ind w:firstLine="0" w:firstLineChars="0"/>
        <w:rPr>
          <w:rFonts w:ascii="Times New Roman" w:hAnsi="Times New Roman" w:eastAsia="仿宋_GB2312"/>
          <w:sz w:val="32"/>
          <w:szCs w:val="32"/>
        </w:rPr>
      </w:pPr>
      <w:r>
        <w:rPr>
          <w:rFonts w:ascii="Times New Roman" w:hAnsi="Times New Roman" w:eastAsia="仿宋_GB2312"/>
          <w:sz w:val="32"/>
          <w:szCs w:val="32"/>
        </w:rPr>
        <w:t>各县（区）人民政府、市级有关部门：</w:t>
      </w:r>
    </w:p>
    <w:p>
      <w:pPr>
        <w:rPr>
          <w:rFonts w:ascii="Times New Roman" w:hAnsi="Times New Roman" w:eastAsia="仿宋_GB2312"/>
          <w:sz w:val="32"/>
          <w:szCs w:val="32"/>
        </w:rPr>
      </w:pPr>
      <w:r>
        <w:rPr>
          <w:rFonts w:ascii="Times New Roman" w:hAnsi="Times New Roman" w:eastAsia="仿宋_GB2312"/>
          <w:sz w:val="32"/>
          <w:szCs w:val="32"/>
        </w:rPr>
        <w:t>现将《攀枝花市企业投资项目承诺制实施办法》印发给你们，请抓好贯彻落实。</w:t>
      </w:r>
    </w:p>
    <w:p>
      <w:pPr>
        <w:rPr>
          <w:rFonts w:ascii="Times New Roman" w:hAnsi="Times New Roman" w:eastAsia="仿宋_GB2312"/>
          <w:sz w:val="32"/>
          <w:szCs w:val="32"/>
        </w:rPr>
      </w:pPr>
    </w:p>
    <w:p>
      <w:pPr>
        <w:pStyle w:val="13"/>
        <w:tabs>
          <w:tab w:val="clear" w:pos="4153"/>
          <w:tab w:val="clear" w:pos="8306"/>
        </w:tabs>
        <w:spacing w:beforeAutospacing="0" w:afterAutospacing="0" w:line="640" w:lineRule="exact"/>
        <w:ind w:firstLine="0" w:firstLineChars="0"/>
        <w:jc w:val="both"/>
        <w:rPr>
          <w:rFonts w:ascii="Times New Roman" w:hAnsi="Times New Roman" w:eastAsia="仿宋_GB2312"/>
          <w:sz w:val="32"/>
          <w:szCs w:val="32"/>
        </w:rPr>
      </w:pPr>
    </w:p>
    <w:p>
      <w:pPr>
        <w:pStyle w:val="13"/>
        <w:tabs>
          <w:tab w:val="clear" w:pos="4153"/>
          <w:tab w:val="clear" w:pos="8306"/>
        </w:tabs>
        <w:spacing w:beforeAutospacing="0" w:afterAutospacing="0" w:line="640" w:lineRule="exact"/>
        <w:ind w:firstLine="4480" w:firstLineChars="1400"/>
        <w:jc w:val="both"/>
        <w:rPr>
          <w:rFonts w:ascii="Times New Roman" w:hAnsi="Times New Roman" w:eastAsia="仿宋_GB2312"/>
          <w:sz w:val="32"/>
          <w:szCs w:val="32"/>
        </w:rPr>
      </w:pPr>
      <w:r>
        <w:rPr>
          <w:rFonts w:ascii="Times New Roman" w:hAnsi="Times New Roman" w:eastAsia="仿宋_GB2312"/>
          <w:sz w:val="32"/>
          <w:szCs w:val="32"/>
        </w:rPr>
        <w:t>攀枝花市发展和改革委员会</w:t>
      </w:r>
    </w:p>
    <w:p>
      <w:pPr>
        <w:pStyle w:val="13"/>
        <w:tabs>
          <w:tab w:val="clear" w:pos="4153"/>
          <w:tab w:val="clear" w:pos="8306"/>
        </w:tabs>
        <w:spacing w:beforeAutospacing="0" w:afterAutospacing="0" w:line="640" w:lineRule="exact"/>
        <w:ind w:firstLine="5120" w:firstLineChars="1600"/>
        <w:jc w:val="both"/>
        <w:rPr>
          <w:rFonts w:ascii="Times New Roman" w:hAnsi="Times New Roman" w:eastAsia="仿宋_GB2312"/>
          <w:sz w:val="32"/>
          <w:szCs w:val="32"/>
        </w:rPr>
      </w:pPr>
      <w:r>
        <w:rPr>
          <w:rFonts w:ascii="Times New Roman" w:hAnsi="Times New Roman" w:eastAsia="仿宋_GB2312"/>
          <w:sz w:val="32"/>
          <w:szCs w:val="32"/>
        </w:rPr>
        <w:t>2022年12月</w:t>
      </w:r>
      <w:r>
        <w:rPr>
          <w:rFonts w:hint="eastAsia" w:eastAsia="仿宋_GB2312"/>
          <w:sz w:val="32"/>
          <w:szCs w:val="32"/>
          <w:lang w:val="en-US" w:eastAsia="zh-CN"/>
        </w:rPr>
        <w:t>19</w:t>
      </w:r>
      <w:r>
        <w:rPr>
          <w:rFonts w:ascii="Times New Roman" w:hAnsi="Times New Roman" w:eastAsia="仿宋_GB2312"/>
          <w:sz w:val="32"/>
          <w:szCs w:val="32"/>
        </w:rPr>
        <w:t>日</w:t>
      </w:r>
    </w:p>
    <w:p>
      <w:pPr>
        <w:pStyle w:val="13"/>
        <w:tabs>
          <w:tab w:val="clear" w:pos="4153"/>
          <w:tab w:val="clear" w:pos="8306"/>
        </w:tabs>
        <w:ind w:firstLine="0" w:firstLineChars="0"/>
        <w:rPr>
          <w:rFonts w:eastAsia="仿宋_GB2312"/>
          <w:sz w:val="32"/>
          <w:szCs w:val="32"/>
        </w:rPr>
      </w:pPr>
    </w:p>
    <w:p>
      <w:pPr>
        <w:ind w:firstLine="0" w:firstLineChars="0"/>
        <w:jc w:val="center"/>
        <w:rPr>
          <w:rFonts w:ascii="Times New Roman" w:hAnsi="Times New Roman" w:eastAsia="方正小标宋简体"/>
          <w:spacing w:val="0"/>
          <w:kern w:val="2"/>
          <w:sz w:val="44"/>
          <w:szCs w:val="44"/>
          <w:lang w:bidi="ar-SA"/>
        </w:rPr>
      </w:pPr>
    </w:p>
    <w:p>
      <w:pPr>
        <w:ind w:firstLine="0" w:firstLineChars="0"/>
        <w:jc w:val="center"/>
        <w:rPr>
          <w:rFonts w:ascii="Times New Roman" w:hAnsi="Times New Roman" w:eastAsia="方正小标宋简体"/>
          <w:spacing w:val="0"/>
          <w:kern w:val="2"/>
          <w:sz w:val="44"/>
          <w:szCs w:val="44"/>
          <w:lang w:bidi="ar-SA"/>
        </w:rPr>
      </w:pPr>
    </w:p>
    <w:p>
      <w:pPr>
        <w:ind w:firstLine="0" w:firstLineChars="0"/>
        <w:jc w:val="center"/>
        <w:rPr>
          <w:rFonts w:ascii="Times New Roman" w:hAnsi="Times New Roman" w:eastAsia="方正小标宋简体"/>
          <w:spacing w:val="0"/>
          <w:kern w:val="2"/>
          <w:sz w:val="44"/>
          <w:szCs w:val="44"/>
          <w:lang w:bidi="ar-SA"/>
        </w:rPr>
      </w:pPr>
    </w:p>
    <w:p>
      <w:pPr>
        <w:ind w:firstLine="0" w:firstLineChars="0"/>
        <w:jc w:val="center"/>
        <w:rPr>
          <w:rFonts w:ascii="Times New Roman" w:hAnsi="Times New Roman" w:eastAsia="方正小标宋简体"/>
          <w:spacing w:val="0"/>
          <w:kern w:val="2"/>
          <w:sz w:val="44"/>
          <w:szCs w:val="44"/>
          <w:lang w:bidi="ar-SA"/>
        </w:rPr>
      </w:pPr>
    </w:p>
    <w:p>
      <w:pPr>
        <w:ind w:firstLine="0" w:firstLineChars="0"/>
        <w:jc w:val="center"/>
        <w:rPr>
          <w:rFonts w:ascii="Times New Roman" w:hAnsi="Times New Roman" w:eastAsia="方正小标宋简体"/>
          <w:spacing w:val="0"/>
          <w:kern w:val="2"/>
          <w:sz w:val="44"/>
          <w:szCs w:val="44"/>
          <w:lang w:bidi="ar-SA"/>
        </w:rPr>
      </w:pPr>
      <w:r>
        <w:rPr>
          <w:rFonts w:ascii="Times New Roman" w:hAnsi="Times New Roman" w:eastAsia="方正小标宋简体"/>
          <w:spacing w:val="0"/>
          <w:kern w:val="2"/>
          <w:sz w:val="44"/>
          <w:szCs w:val="44"/>
          <w:lang w:bidi="ar-SA"/>
        </w:rPr>
        <w:t>攀枝花市企业投资项目承诺制实施办法</w:t>
      </w:r>
    </w:p>
    <w:p>
      <w:pPr>
        <w:ind w:left="3088" w:leftChars="1364" w:hanging="360" w:hangingChars="100"/>
        <w:rPr>
          <w:rFonts w:ascii="Times New Roman" w:hAnsi="Times New Roman" w:eastAsia="黑体"/>
          <w:spacing w:val="0"/>
          <w:kern w:val="2"/>
          <w:sz w:val="36"/>
          <w:szCs w:val="36"/>
          <w:lang w:bidi="ar-SA"/>
        </w:rPr>
      </w:pP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为贯彻落实党中央、国务院和省委、省政府关于深化投融资体制改革、优化营商环境的决策部署，积极推行企业投资项目承诺制，推动项目快速审批、快速开工。按照《四川省人民政府关于印发扎实稳住经济增长若干政策措施的通知》（川府发〔2022〕16号）、《四川省发展和改革委员会等13部门关于进一步推行企业投资项目承诺制的通知》（川发改审批〔2022〕470号）等文件精神，结合我市实际，制订本实施办法。</w:t>
      </w:r>
    </w:p>
    <w:p>
      <w:pPr>
        <w:spacing w:beforeAutospacing="0" w:afterAutospacing="0" w:line="640" w:lineRule="exact"/>
        <w:ind w:firstLine="640" w:firstLineChars="200"/>
        <w:jc w:val="both"/>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一、指导思想</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 xml:space="preserve">坚持以习近平新时代中国特色社会主义思想为指导，认真贯彻落实党中央国务院和省委省政府决策部署，立足我市经济社会发展需要，深入推进“放管服”改革，进一步确立企业投资主体地位，打造审批少、流程优、体制顺、机制活、效率高、服务好的营商环境，探索创新以政策性条件引导、企业信用承诺、监管有效约束为核心的企业投资项目承诺制监管和服务模式，进一步激发市场主体活力。 </w:t>
      </w:r>
    </w:p>
    <w:p>
      <w:pPr>
        <w:spacing w:beforeAutospacing="0" w:afterAutospacing="0" w:line="640" w:lineRule="exact"/>
        <w:ind w:firstLine="640" w:firstLineChars="200"/>
        <w:jc w:val="both"/>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二、工作原则</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（一）服务优先原则</w:t>
      </w:r>
      <w:r>
        <w:rPr>
          <w:rFonts w:ascii="Times New Roman" w:hAnsi="Times New Roman" w:eastAsia="仿宋_GB2312"/>
          <w:spacing w:val="0"/>
          <w:kern w:val="2"/>
          <w:sz w:val="32"/>
          <w:szCs w:val="32"/>
          <w:lang w:bidi="ar-SA"/>
        </w:rPr>
        <w:t>。以服务发展为主线，坚持改革创新，通过优化审批流程、简化审批环节、缩短审批时限，创新和改进服务方式，提高办事效率和服务水平，进一步向市场和社会放权。</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（二）宽进严管原则</w:t>
      </w:r>
      <w:r>
        <w:rPr>
          <w:rFonts w:ascii="Times New Roman" w:hAnsi="Times New Roman" w:eastAsia="仿宋_GB2312"/>
          <w:spacing w:val="0"/>
          <w:kern w:val="2"/>
          <w:sz w:val="32"/>
          <w:szCs w:val="32"/>
          <w:lang w:bidi="ar-SA"/>
        </w:rPr>
        <w:t>。构建项目单位承诺申报，审批部门容缺受理的审批机制，同步抓好审批过程监管，强化受理、审核、决定、出证、跟踪催办全过程监督管理，不断提升审批服务水平和监管力度，营造宽松、便捷、健康的项目投资环境。</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（三）诚实履诺原则</w:t>
      </w:r>
      <w:r>
        <w:rPr>
          <w:rFonts w:ascii="Times New Roman" w:hAnsi="Times New Roman" w:eastAsia="仿宋_GB2312"/>
          <w:spacing w:val="0"/>
          <w:kern w:val="2"/>
          <w:sz w:val="32"/>
          <w:szCs w:val="32"/>
          <w:lang w:bidi="ar-SA"/>
        </w:rPr>
        <w:t>。强化信用监督机制，规范和引导项目单位承诺行为，切实将相关承诺履行到位，并对失信企业予以联合惩戒，为承诺审批制的实施营造良好环境。</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（四）权责一致原则</w:t>
      </w:r>
      <w:r>
        <w:rPr>
          <w:rFonts w:ascii="Times New Roman" w:hAnsi="Times New Roman" w:eastAsia="仿宋_GB2312"/>
          <w:spacing w:val="0"/>
          <w:kern w:val="2"/>
          <w:sz w:val="32"/>
          <w:szCs w:val="32"/>
          <w:lang w:bidi="ar-SA"/>
        </w:rPr>
        <w:t>。审批部门、综合管理部门和执法部门要形成信息共享畅通的沟通机制，并主动告知申请企业的相关政策和要求，对承诺事项加强事前、事中、事后服务和监管，切实做到权责一致。</w:t>
      </w:r>
    </w:p>
    <w:p>
      <w:pPr>
        <w:spacing w:beforeAutospacing="0" w:afterAutospacing="0" w:line="640" w:lineRule="exact"/>
        <w:ind w:firstLine="640" w:firstLineChars="200"/>
        <w:jc w:val="both"/>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三、实施范围和工作目标</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以国家级开发区（钒钛高新技术产业开发区）、省级开发区（东区创新开发产业开发区、西区格里坪特色产业园区）为重点，对企业投资备案项目实行承诺制。由各级政府负责本地企业投资项目承诺制工作，研究确定本级备案的企业投资项目承诺事项清单，并向社会公布。</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进一步优化审批流程、简化审批环节、缩短审批时限，为企业投资项目尽快开工提供制度保障。实现开工前行政部门审批时间压缩至40个工作日内，其中“零增地”技术改造项目（不新增用地且不改变厂房主体结构的技术改造类企业投资项目）实现开工前行政部门审批时间压缩至35个工作日。关系国家安全和生态安全、涉及全国重大生产力布局、战略性资源开发和重大公共利益的项目不实行承诺制。</w:t>
      </w:r>
    </w:p>
    <w:p>
      <w:pPr>
        <w:spacing w:beforeAutospacing="0" w:afterAutospacing="0" w:line="640" w:lineRule="exact"/>
        <w:ind w:firstLine="640" w:firstLineChars="200"/>
        <w:jc w:val="both"/>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四、承诺制服务事项</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企业投资项目单位在办理以下行政审批事项时，有关审批要件可容后办理或该审批事项提速办理。</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（一）市发展和改革委员会</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在企业投资项目核准和备案时，项目单位可在项目施工前再办理固定资产投资项目节能审查。</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（二）市经济和信息化局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 xml:space="preserve"> 在企业技术改造项目备案时，项目单位可在项目建设前再办理项目节能审查。</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（三）市水利局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水土保持方案审批。开发区进行了水土保持区域评估的，开发区内的项目水土保持方案可实行承诺制（附件3）。项目单位递交</w:t>
      </w:r>
      <w:r>
        <w:rPr>
          <w:rFonts w:ascii="Times New Roman" w:hAnsi="Times New Roman" w:eastAsia="仿宋_GB2312"/>
          <w:spacing w:val="0"/>
          <w:kern w:val="0"/>
          <w:sz w:val="32"/>
          <w:szCs w:val="32"/>
          <w:lang w:bidi="ar-SA"/>
        </w:rPr>
        <w:t>水土保持方案审批申请文件和水土保持方案，</w:t>
      </w:r>
      <w:r>
        <w:rPr>
          <w:rFonts w:ascii="Times New Roman" w:hAnsi="Times New Roman" w:eastAsia="方正仿宋_GBK"/>
          <w:spacing w:val="0"/>
          <w:kern w:val="2"/>
          <w:sz w:val="32"/>
          <w:szCs w:val="32"/>
          <w:lang w:bidi="ar-SA"/>
        </w:rPr>
        <w:t>审批部门对项目单位提交的申请材料进行形式审查，对申请材料齐全、格式符合规定要求的，在受理后即来即办、现场办结，出具准予许可决定，明确水土保持补偿费征收金额。</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（四）市住房和城乡建设局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1.城镇污水排入排水管网许可。带方案出让土地项目和园区内工业、仓储及生产配套设施项目（化工园区及危险化学品项目等特殊项目除外）承诺工程建设前建有必要的排水基础设施，可在5个工作日办结。</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2.工程施工许可证。社会投资小型低风险仓库、厂房等工业类建筑工程取消建设项目的施工图设计文件审查备案，实行告知承诺制和设计人员终身责任制(依法进行消防设计审核的要办理消防设计审核），可在2个工</w:t>
      </w:r>
      <w:r>
        <w:rPr>
          <w:rFonts w:ascii="Times New Roman" w:hAnsi="Times New Roman" w:eastAsia="方正仿宋_GBK"/>
          <w:spacing w:val="0"/>
          <w:kern w:val="2"/>
          <w:sz w:val="32"/>
          <w:szCs w:val="32"/>
          <w:lang w:bidi="ar-SA"/>
        </w:rPr>
        <w:t>作日办结。</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（五）市气象局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1.雷电防护装置设计审核和竣工验收许可。需要申请人提交的防雷产品安装记录和防雷产品出厂合格证书可容缺办理。</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2.雷电防护装置检测单位资质认定（电力、通信以外）。需要申请人提交的技术职称证书以及经营场所产权证明（或者租赁合同）可容缺办理。</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3.外国组织和个人在华从事气象活动审批。需要申请人提交的设备许可证可容缺办理。</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（六）市文化广播电视和旅游局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 xml:space="preserve">1.文物保护工程施工资质审批。  </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容缺受理材料：法定代表人任职文件、身份证明。项目单位承诺5个工作日内补交。</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2.文物保护工程监理资质审批。</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容缺受理材料：法定代表人任职文件、身份证明。项目单位承诺5个工作日内补交。</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（七）市城市管理行政执法局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1.工程建设涉及城市绿地、树木审批。绿化工程设计方案可容缺受理。</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2.改变绿化规划、绿化用地使用性质审批。项目单位承诺绿化赔偿已落实的项目可提速至6个工作日办理。</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（八）市生态环境局</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建设项目环境影响报告表审批。市域内已完成规划环评或跟踪评价的产业园区，同时符合承诺制审批名录的项目。项目单位及为项目提供服务的环评编制单位，符合市生态环境局制定的建设项目环境影响评价文件报批承诺书（附件2），环境影响报告表审批时限可压缩在7个工作日内。</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（九）市林业局</w:t>
      </w:r>
      <w:r>
        <w:rPr>
          <w:rFonts w:hint="eastAsia" w:eastAsia="楷体"/>
          <w:spacing w:val="0"/>
          <w:kern w:val="2"/>
          <w:sz w:val="32"/>
          <w:szCs w:val="32"/>
          <w:lang w:eastAsia="zh-CN" w:bidi="ar-SA"/>
        </w:rPr>
        <w:t>。</w:t>
      </w:r>
    </w:p>
    <w:p>
      <w:pPr>
        <w:spacing w:beforeAutospacing="0" w:afterAutospacing="0" w:line="640" w:lineRule="exact"/>
        <w:ind w:left="0" w:right="0"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普通林木种子生产经营许可证新办。</w:t>
      </w:r>
      <w:r>
        <w:rPr>
          <w:rFonts w:ascii="Times New Roman" w:hAnsi="Times New Roman" w:eastAsia="仿宋"/>
          <w:spacing w:val="0"/>
          <w:kern w:val="2"/>
          <w:sz w:val="32"/>
          <w:szCs w:val="32"/>
          <w:lang w:bidi="ar-SA"/>
        </w:rPr>
        <w:t>申请人提交</w:t>
      </w:r>
      <w:r>
        <w:rPr>
          <w:rFonts w:ascii="Times New Roman" w:hAnsi="Times New Roman" w:eastAsia="仿宋_GB2312"/>
          <w:spacing w:val="0"/>
          <w:kern w:val="2"/>
          <w:sz w:val="32"/>
          <w:szCs w:val="32"/>
          <w:lang w:bidi="ar-SA"/>
        </w:rPr>
        <w:t>普通林木种子生产经营许可证申请表，</w:t>
      </w:r>
      <w:r>
        <w:rPr>
          <w:rFonts w:ascii="Times New Roman" w:hAnsi="Times New Roman" w:eastAsia="仿宋"/>
          <w:spacing w:val="0"/>
          <w:kern w:val="2"/>
          <w:sz w:val="32"/>
          <w:szCs w:val="32"/>
          <w:lang w:bidi="ar-SA"/>
        </w:rPr>
        <w:t>且承诺符合审批条件的（附件4），当场作出准予行政许可的决定。</w:t>
      </w:r>
    </w:p>
    <w:p>
      <w:pPr>
        <w:spacing w:beforeAutospacing="0" w:afterAutospacing="0" w:line="640" w:lineRule="exact"/>
        <w:ind w:left="0" w:right="0" w:firstLine="640" w:firstLineChars="200"/>
        <w:jc w:val="both"/>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五、工作流程及要求</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（一）企业投资项目承诺制工作流程</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1.提出申请。项目单位按照承诺制工作要求，向行政审批部门提出申请，同时提交加盖单位公章的纸质承诺书一式两份（必要时需提交承诺书里要求的其它相关证明资料）。</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2. 审查决定。审批部门在收到项目单位提出的行政审批申请后，对项目单位提交的申报材料和承诺书进行审查，重点审查项目单位提出的承诺内容及事项是否符合要求，并审查项目单位信用情况，制作下发相应文书。</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3.履诺践诺。项目单位在项目投产前，按照承诺事项的相关要求，对照承诺书具体内容，在承诺期限内及时取得相关审批部门的审批手续。</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（二）企业投资项目承诺制工作要求</w:t>
      </w:r>
      <w:r>
        <w:rPr>
          <w:rFonts w:hint="eastAsia" w:eastAsia="楷体"/>
          <w:spacing w:val="0"/>
          <w:kern w:val="2"/>
          <w:sz w:val="32"/>
          <w:szCs w:val="32"/>
          <w:lang w:eastAsia="zh-CN" w:bidi="ar-SA"/>
        </w:rPr>
        <w:t>。</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1.精简优化审批要件。根据相关法律、法规、规章的规定，对审批事项的审批条件和申报材料按照精简、效能原则进行精简优化，明确申请条件和各项申请资料，进一步规范申报资料审查的形式和内容，一次性主动告知项目单位相关政策和规定。</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2. 强化事中事后监管。相关审批和行业主管部门要结合行业实际，加强相互沟通，依托互联网和大数据技术，建立透明、规范、高效的投资项目纵横联动协同监管机制。组织定期或不定期检查，重点监管项目单位是否严格按承诺的标准和要求组织施工；及时收集整理相关证据和材料，对违反承诺审批要求的项目单位按照工作流程中止或撤销相关审批决定；对采用虚假申报材料的项目单位依据法律法规作出或提请相关部门对项目单位作出处罚。</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3.加强信用和惩戒体系建设。 健全项目单位的信用管理与评价机制，将审批过程中所作出的承诺纳入相关单位的信用档案。对违背承诺的投资项目作出限期整改、停工整顿、撤销批复文件等处理意见，并按照有关规定进行处罚；对未按照规定办理相关证照就生产的企业，立即作出停产处理和相关处罚，并要求按照规定办理相关证照。将项目单位和从业人员违法违规、不履行承诺的失信行为纳入“信用攀枝花”平台系统，实行信用评价与市场准入、招标投标、评优评奖挂钩，强化信用评价结果在市场交易和从业活动中的运用，构建“一处失信、处处受限”的联合惩戒机制。</w:t>
      </w:r>
    </w:p>
    <w:p>
      <w:pPr>
        <w:spacing w:beforeAutospacing="0" w:afterAutospacing="0" w:line="640" w:lineRule="exact"/>
        <w:ind w:left="0"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4.提高服务效率。坚持“审批做减法，服务做加法”，审批部门积极向项目单位宣传承诺事项，营造企业投资良好环境。推行投资项目全过程审批事项在线办理，进一步优化办事流程，提高企业投资项目审批效率。</w:t>
      </w:r>
    </w:p>
    <w:p>
      <w:pPr>
        <w:spacing w:beforeAutospacing="0" w:afterAutospacing="0" w:line="640" w:lineRule="exact"/>
        <w:ind w:firstLine="640" w:firstLineChars="200"/>
        <w:jc w:val="both"/>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六、保障措施</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（一）加强组织领导</w:t>
      </w:r>
      <w:r>
        <w:rPr>
          <w:rFonts w:ascii="Times New Roman" w:hAnsi="Times New Roman" w:eastAsia="仿宋_GB2312"/>
          <w:spacing w:val="0"/>
          <w:kern w:val="2"/>
          <w:sz w:val="32"/>
          <w:szCs w:val="32"/>
          <w:lang w:bidi="ar-SA"/>
        </w:rPr>
        <w:t>。推行企业投资项目承诺制是攀枝花市“放管服”改革优化营商环境任务中一项重要工作。统一在市优化营商环境领导小组领导下开展工作。由市发展和改革委员会牵头，市级各有关部门要明确责任科室和具体责任人，统筹协调推进承诺制工作。</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（二）加强统筹协调</w:t>
      </w:r>
      <w:r>
        <w:rPr>
          <w:rFonts w:ascii="Times New Roman" w:hAnsi="Times New Roman" w:eastAsia="仿宋_GB2312"/>
          <w:spacing w:val="0"/>
          <w:kern w:val="2"/>
          <w:sz w:val="32"/>
          <w:szCs w:val="32"/>
          <w:lang w:bidi="ar-SA"/>
        </w:rPr>
        <w:t xml:space="preserve">。有关审批部门要对审批事项进行细致梳理，明确可承诺内容，创新工作方法，优化服务流程，完善相关制度，按职能分工做好相关工作。 </w:t>
      </w:r>
    </w:p>
    <w:p>
      <w:pPr>
        <w:spacing w:beforeAutospacing="0" w:afterAutospacing="0" w:line="640" w:lineRule="exact"/>
        <w:ind w:firstLine="640" w:firstLineChars="200"/>
        <w:jc w:val="both"/>
        <w:rPr>
          <w:rFonts w:ascii="Times New Roman" w:hAnsi="Times New Roman" w:eastAsia="楷体"/>
          <w:spacing w:val="0"/>
          <w:kern w:val="2"/>
          <w:sz w:val="32"/>
          <w:szCs w:val="32"/>
          <w:lang w:bidi="ar-SA"/>
        </w:rPr>
      </w:pPr>
      <w:r>
        <w:rPr>
          <w:rFonts w:ascii="Times New Roman" w:hAnsi="Times New Roman" w:eastAsia="楷体"/>
          <w:spacing w:val="0"/>
          <w:kern w:val="2"/>
          <w:sz w:val="32"/>
          <w:szCs w:val="32"/>
          <w:lang w:bidi="ar-SA"/>
        </w:rPr>
        <w:t>（三）加强宣传培训</w:t>
      </w:r>
      <w:r>
        <w:rPr>
          <w:rFonts w:ascii="Times New Roman" w:hAnsi="Times New Roman" w:eastAsia="仿宋_GB2312"/>
          <w:spacing w:val="0"/>
          <w:kern w:val="2"/>
          <w:sz w:val="32"/>
          <w:szCs w:val="32"/>
          <w:lang w:bidi="ar-SA"/>
        </w:rPr>
        <w:t>。有关行政审批机关要加强对涉及的法律、法规、规章及业务知识的宣传、解释、培训工作，积极宣传推广经验做法，加强舆论引导，积极引导项目单位严格按照相关规定开展投资项目报件工作；敦促项目单位自觉遵守相关的法律法规规章，严禁项目单位做出违反强制性规范的行为。</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 xml:space="preserve"> </w:t>
      </w:r>
    </w:p>
    <w:p>
      <w:pPr>
        <w:spacing w:beforeAutospacing="0" w:afterAutospacing="0" w:line="640" w:lineRule="exact"/>
        <w:ind w:firstLine="640" w:firstLineChars="20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附件：项目单位承诺书</w:t>
      </w:r>
    </w:p>
    <w:p>
      <w:pPr>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仿宋_GB2312"/>
          <w:spacing w:val="0"/>
          <w:kern w:val="2"/>
          <w:sz w:val="32"/>
          <w:szCs w:val="32"/>
          <w:lang w:bidi="ar-SA"/>
        </w:rPr>
      </w:pPr>
    </w:p>
    <w:p>
      <w:pPr>
        <w:ind w:firstLine="0" w:firstLineChars="0"/>
        <w:jc w:val="left"/>
        <w:rPr>
          <w:rFonts w:ascii="Times New Roman" w:hAnsi="Times New Roman" w:eastAsia="黑体"/>
          <w:spacing w:val="0"/>
          <w:kern w:val="2"/>
          <w:sz w:val="32"/>
          <w:szCs w:val="32"/>
          <w:lang w:bidi="ar-SA"/>
        </w:rPr>
      </w:pPr>
      <w:bookmarkStart w:id="0" w:name="_GoBack"/>
      <w:bookmarkEnd w:id="0"/>
      <w:r>
        <w:rPr>
          <w:rFonts w:ascii="Times New Roman" w:hAnsi="Times New Roman" w:eastAsia="黑体"/>
          <w:spacing w:val="0"/>
          <w:kern w:val="2"/>
          <w:sz w:val="32"/>
          <w:szCs w:val="32"/>
          <w:lang w:bidi="ar-SA"/>
        </w:rPr>
        <w:t>附件1</w:t>
      </w:r>
    </w:p>
    <w:p>
      <w:pPr>
        <w:ind w:firstLine="0" w:firstLineChars="0"/>
        <w:jc w:val="center"/>
        <w:rPr>
          <w:rFonts w:ascii="Times New Roman" w:hAnsi="Times New Roman" w:eastAsia="方正小标宋简体"/>
          <w:spacing w:val="0"/>
          <w:kern w:val="2"/>
          <w:sz w:val="44"/>
          <w:szCs w:val="44"/>
          <w:lang w:bidi="ar-SA"/>
        </w:rPr>
      </w:pPr>
      <w:r>
        <w:rPr>
          <w:rFonts w:ascii="Times New Roman" w:hAnsi="Times New Roman" w:eastAsia="方正小标宋简体"/>
          <w:spacing w:val="0"/>
          <w:kern w:val="2"/>
          <w:sz w:val="44"/>
          <w:szCs w:val="44"/>
          <w:lang w:bidi="ar-SA"/>
        </w:rPr>
        <w:t>项目单位承诺书</w:t>
      </w:r>
    </w:p>
    <w:p>
      <w:pPr>
        <w:ind w:firstLine="0" w:firstLineChars="0"/>
        <w:rPr>
          <w:rFonts w:ascii="Times New Roman" w:hAnsi="Times New Roman" w:eastAsia="仿宋_GB2312"/>
          <w:spacing w:val="0"/>
          <w:kern w:val="2"/>
          <w:sz w:val="32"/>
          <w:szCs w:val="32"/>
          <w:lang w:bidi="ar-SA"/>
        </w:rPr>
      </w:pPr>
    </w:p>
    <w:p>
      <w:pPr>
        <w:ind w:firstLine="0" w:firstLineChars="0"/>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XXX部门：（审批部门名称）：</w:t>
      </w:r>
    </w:p>
    <w:p>
      <w:pPr>
        <w:ind w:firstLine="640" w:firstLineChars="200"/>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我单位因XX（建设项目名称）项目，现向XXX（审批部门名称）申请办理（审批类别名称），因XXX原因，审批所需材料中的1.XX:2.XX:3.XX。（材料内容）暂不能提交，根据承诺审批制的要求（文号： ），我单位承诺在XX年XX月XX日前提交XX材料，并承诺所提交材料真实合法有效，逾期未提交愿意承担违反承诺的法律责任。</w:t>
      </w:r>
    </w:p>
    <w:p>
      <w:pPr>
        <w:ind w:firstLine="960" w:firstLineChars="300"/>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单位地址：</w:t>
      </w:r>
    </w:p>
    <w:p>
      <w:pPr>
        <w:ind w:firstLine="1120" w:firstLineChars="350"/>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联系电话：</w:t>
      </w:r>
    </w:p>
    <w:p>
      <w:pPr>
        <w:rPr>
          <w:rFonts w:ascii="Times New Roman" w:hAnsi="Times New Roman" w:eastAsia="仿宋_GB2312"/>
          <w:spacing w:val="0"/>
          <w:kern w:val="2"/>
          <w:sz w:val="32"/>
          <w:szCs w:val="32"/>
          <w:lang w:bidi="ar-SA"/>
        </w:rPr>
      </w:pPr>
    </w:p>
    <w:p>
      <w:pPr>
        <w:pStyle w:val="10"/>
        <w:rPr>
          <w:rFonts w:hint="eastAsia"/>
        </w:rPr>
      </w:pPr>
    </w:p>
    <w:p>
      <w:pPr>
        <w:jc w:val="center"/>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项目单位（公章）：</w:t>
      </w:r>
    </w:p>
    <w:p>
      <w:pPr>
        <w:jc w:val="center"/>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 xml:space="preserve">               法定代表人或委托代理人（签字）：</w:t>
      </w:r>
    </w:p>
    <w:p>
      <w:pPr>
        <w:jc w:val="center"/>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t xml:space="preserve">                    一一一年一一月一一日</w:t>
      </w:r>
    </w:p>
    <w:p>
      <w:pPr>
        <w:ind w:firstLine="0" w:firstLineChars="0"/>
        <w:jc w:val="both"/>
        <w:rPr>
          <w:rFonts w:ascii="Times New Roman" w:hAnsi="Times New Roman" w:eastAsia="仿宋_GB2312"/>
          <w:spacing w:val="0"/>
          <w:kern w:val="2"/>
          <w:sz w:val="32"/>
          <w:szCs w:val="32"/>
          <w:lang w:bidi="ar-SA"/>
        </w:rPr>
      </w:pPr>
      <w:r>
        <w:rPr>
          <w:rFonts w:ascii="Times New Roman" w:hAnsi="Times New Roman" w:eastAsia="仿宋_GB2312"/>
          <w:spacing w:val="0"/>
          <w:kern w:val="2"/>
          <w:sz w:val="32"/>
          <w:szCs w:val="32"/>
          <w:lang w:bidi="ar-SA"/>
        </w:rPr>
        <w:br w:type="page"/>
      </w:r>
      <w:r>
        <w:rPr>
          <w:rFonts w:ascii="Times New Roman" w:hAnsi="Times New Roman" w:eastAsia="黑体"/>
          <w:spacing w:val="0"/>
          <w:kern w:val="2"/>
          <w:sz w:val="32"/>
          <w:szCs w:val="32"/>
          <w:lang w:bidi="ar-SA"/>
        </w:rPr>
        <w:t>附件2</w:t>
      </w:r>
    </w:p>
    <w:p>
      <w:pPr>
        <w:spacing w:beforeAutospacing="0" w:afterAutospacing="0" w:line="600" w:lineRule="exact"/>
        <w:ind w:firstLine="0" w:firstLineChars="0"/>
        <w:jc w:val="center"/>
        <w:rPr>
          <w:rFonts w:hint="eastAsia" w:ascii="方正小标宋简体" w:eastAsia="方正小标宋简体"/>
          <w:spacing w:val="0"/>
          <w:kern w:val="2"/>
          <w:sz w:val="44"/>
          <w:szCs w:val="44"/>
          <w:lang w:bidi="ar-SA"/>
        </w:rPr>
      </w:pPr>
      <w:r>
        <w:rPr>
          <w:rFonts w:hint="eastAsia" w:ascii="方正小标宋简体" w:eastAsia="方正小标宋简体"/>
          <w:spacing w:val="0"/>
          <w:kern w:val="2"/>
          <w:sz w:val="44"/>
          <w:szCs w:val="44"/>
          <w:lang w:bidi="ar-SA"/>
        </w:rPr>
        <w:t>攀枝花市建设项目环境影响报告表</w:t>
      </w:r>
    </w:p>
    <w:p>
      <w:pPr>
        <w:spacing w:beforeAutospacing="0" w:afterAutospacing="0" w:line="600" w:lineRule="exact"/>
        <w:ind w:firstLine="0" w:firstLineChars="0"/>
        <w:jc w:val="center"/>
        <w:rPr>
          <w:rFonts w:hint="eastAsia" w:ascii="方正小标宋简体" w:eastAsia="方正小标宋简体"/>
          <w:spacing w:val="0"/>
          <w:kern w:val="2"/>
          <w:sz w:val="44"/>
          <w:szCs w:val="44"/>
          <w:lang w:bidi="ar-SA"/>
        </w:rPr>
      </w:pPr>
      <w:r>
        <w:rPr>
          <w:rFonts w:hint="eastAsia" w:ascii="方正小标宋简体" w:eastAsia="方正小标宋简体"/>
          <w:spacing w:val="0"/>
          <w:kern w:val="2"/>
          <w:sz w:val="44"/>
          <w:szCs w:val="44"/>
          <w:lang w:bidi="ar-SA"/>
        </w:rPr>
        <w:t>报批承诺书（样本）</w:t>
      </w:r>
    </w:p>
    <w:tbl>
      <w:tblPr>
        <w:tblStyle w:val="2"/>
        <w:tblW w:w="0" w:type="auto"/>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108" w:type="dxa"/>
          <w:bottom w:w="0" w:type="dxa"/>
          <w:right w:w="108" w:type="dxa"/>
        </w:tblCellMar>
      </w:tblPr>
      <w:tblGrid>
        <w:gridCol w:w="923"/>
        <w:gridCol w:w="1527"/>
        <w:gridCol w:w="818"/>
        <w:gridCol w:w="1156"/>
        <w:gridCol w:w="4098"/>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项目名称</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立项文号</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建设地点</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环评行业类别</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规划环评开展情况</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建设单位</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4424" w:type="dxa"/>
            <w:gridSpan w:val="4"/>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□统一社会信用代码      □组织机构代码</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□工商注册号            □其他</w:t>
            </w:r>
          </w:p>
        </w:tc>
        <w:tc>
          <w:tcPr>
            <w:tcW w:w="4098" w:type="dxa"/>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PrEx>
        <w:trPr>
          <w:jc w:val="center"/>
        </w:trPr>
        <w:tc>
          <w:tcPr>
            <w:tcW w:w="2450" w:type="dxa"/>
            <w:gridSpan w:val="2"/>
            <w:vMerge w:val="restart"/>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授权经办人员信息</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姓名：                  联系方式：</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Merge w:val="continue"/>
            <w:vAlign w:val="center"/>
          </w:tcP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身份证号码：</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2450"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评价单位</w:t>
            </w:r>
          </w:p>
        </w:tc>
        <w:tc>
          <w:tcPr>
            <w:tcW w:w="6072"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4424" w:type="dxa"/>
            <w:gridSpan w:val="4"/>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□统一社会信用代码      □组织机构代码</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□工商注册号            □其他</w:t>
            </w:r>
          </w:p>
        </w:tc>
        <w:tc>
          <w:tcPr>
            <w:tcW w:w="4098" w:type="dxa"/>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PrEx>
        <w:trPr>
          <w:jc w:val="center"/>
        </w:trPr>
        <w:tc>
          <w:tcPr>
            <w:tcW w:w="3268"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评价单位资质证书编号</w:t>
            </w:r>
          </w:p>
        </w:tc>
        <w:tc>
          <w:tcPr>
            <w:tcW w:w="5254"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3268" w:type="dxa"/>
            <w:gridSpan w:val="3"/>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编制主持人职业资格证书编号</w:t>
            </w:r>
          </w:p>
        </w:tc>
        <w:tc>
          <w:tcPr>
            <w:tcW w:w="5254" w:type="dxa"/>
            <w:gridSpan w:val="2"/>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923" w:type="dxa"/>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建设单位承诺</w:t>
            </w:r>
          </w:p>
        </w:tc>
        <w:tc>
          <w:tcPr>
            <w:tcW w:w="7599" w:type="dxa"/>
            <w:gridSpan w:val="4"/>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一、我单位自愿按照承诺制的要求办理项目环评审批手续。</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二、我单位所提交的各项材料合法、真实、准确、有效，对填报的内容负责，同意生态环境部门将本次申请纳入社会信用考核范畴，若存在失信行为，依法接受信用惩戒。</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三、我单位已对《××××环境影响报告表》进行审查，认可××××单位得出的环境影响评价结论。</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四、我单位将自觉落实环境保护主体责任，履行环境保护义务，严格按照本项目环评文件所列性质、规模、地点、采用的生产工艺以及拟采取的环境保护措施进行建设和生产经营。</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五、我单位将严格遵守各项法律法规，坚持守法生产经营，本项目不存在“未批先建”等环境违法行为，项目所需的用地、用房均属依法获得，不存在使用违法建筑等其他违法情形，自觉接收政府、行业组织、社会各界的监督，若存在违法行为隐瞒不报的，自觉接收相关部门的查处，由生态环境部门撤销关于本次申请的审批决定，所有法律责任和经济责任自行承担。</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六、我单位将严格执行各项环境保护标准，把环境保护工作贯穿于项目建设和经营过程，落实配套建设的环保设施与主体工程同时设计、同时施工、同时投产的环保“三同时”制度。项目竣工后，本单位将按规定开展环境保护验收工作。</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七、我单位提交的《××××环境影响报告表》公开本电子版，不含国家秘密、商业秘密、个人隐私等内容，不及涉及国家安全、公共安全、经济安全和威胁社会稳定等内容，同意将其全文公开。对于环评文件不宜公开的内容及理由说明如下：</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（一）……</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（二）……</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p>
            <w:pPr>
              <w:keepLines w:val="0"/>
              <w:suppressLineNumbers w:val="0"/>
              <w:kinsoku/>
              <w:wordWrap w:val="0"/>
              <w:overflowPunct/>
              <w:topLinePunct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建设单位（盖章）：                  </w:t>
            </w:r>
          </w:p>
          <w:p>
            <w:pPr>
              <w:keepLines w:val="0"/>
              <w:suppressLineNumbers w:val="0"/>
              <w:kinsoku/>
              <w:wordWrap w:val="0"/>
              <w:overflowPunct/>
              <w:topLinePunct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申请时间：                      </w:t>
            </w:r>
          </w:p>
          <w:p>
            <w:pPr>
              <w:keepLines w:val="0"/>
              <w:suppressLineNumbers w:val="0"/>
              <w:kinsoku/>
              <w:wordWrap w:val="0"/>
              <w:overflowPunct/>
              <w:topLinePunct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923" w:type="dxa"/>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bCs/>
                <w:sz w:val="28"/>
                <w:szCs w:val="28"/>
                <w:lang w:bidi="ar-SA"/>
              </w:rPr>
            </w:pPr>
            <w:r>
              <w:rPr>
                <w:rFonts w:ascii="Times New Roman" w:hAnsi="Times New Roman" w:eastAsia="仿宋_GB2312"/>
                <w:bCs/>
                <w:sz w:val="28"/>
                <w:szCs w:val="28"/>
                <w:lang w:bidi="ar-SA"/>
              </w:rPr>
              <w:t>环评编制单位承诺</w:t>
            </w:r>
          </w:p>
        </w:tc>
        <w:tc>
          <w:tcPr>
            <w:tcW w:w="7599" w:type="dxa"/>
            <w:gridSpan w:val="4"/>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一、我单位严格按照各项法律法规、政策、技术导则规定，接受××××建设单位的委托，依法开展××××项目环境影响报告表的编制工作，并按规范要求编制完成了《××××环境影响报告表》。</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二、我单位基于独立、专业、客观、公正的工作态度，对××××项目建设可能造成的环境影响评价进行了分析，并提出切实可行的环境保护对策和措施建议，对《××××环境影响报告表》所得出的环境影响评价结论负责。</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三、我单位对《××××环境影响报告表》拥有完成、独立的知识产权，对该成果负责，不存在复制、抄袭以及盗用、借用等行为，同意生态环境主管部门将该成果纳入社会信用考核范畴，若存在失信行为，依法接受信用惩戒。</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p>
            <w:pPr>
              <w:pStyle w:val="11"/>
              <w:keepNext w:val="0"/>
              <w:keepLines w:val="0"/>
              <w:pageBreakBefore w:val="0"/>
              <w:suppressLineNumbers w:val="0"/>
              <w:suppressAutoHyphens w:val="0"/>
              <w:spacing w:before="0" w:beforeAutospacing="0" w:after="0" w:afterAutospacing="0"/>
              <w:ind w:left="0" w:leftChars="0" w:right="0" w:firstLine="420" w:firstLineChars="0"/>
              <w:rPr>
                <w:rFonts w:ascii="Times New Roman" w:hAnsi="Times New Roman" w:eastAsia="仿宋_GB2312"/>
                <w:sz w:val="28"/>
                <w:szCs w:val="28"/>
                <w:lang w:bidi="ar-SA"/>
              </w:rPr>
            </w:pPr>
          </w:p>
          <w:p>
            <w:pPr>
              <w:keepLines w:val="0"/>
              <w:suppressLineNumbers w:val="0"/>
              <w:kinsoku/>
              <w:wordWrap w:val="0"/>
              <w:overflowPunct/>
              <w:topLinePunct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环评编制单位（盖章）：                       </w:t>
            </w:r>
          </w:p>
          <w:p>
            <w:pPr>
              <w:keepLines w:val="0"/>
              <w:suppressLineNumbers w:val="0"/>
              <w:kinsoku/>
              <w:wordWrap w:val="0"/>
              <w:overflowPunct/>
              <w:topLinePunct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编制主持人（签字）：                       </w:t>
            </w:r>
          </w:p>
          <w:p>
            <w:pPr>
              <w:keepLines w:val="0"/>
              <w:suppressLineNumbers w:val="0"/>
              <w:kinsoku/>
              <w:wordWrap w:val="0"/>
              <w:overflowPunct/>
              <w:topLinePunct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     </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PrEx>
        <w:trPr>
          <w:jc w:val="center"/>
        </w:trPr>
        <w:tc>
          <w:tcPr>
            <w:tcW w:w="923" w:type="dxa"/>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bCs/>
                <w:sz w:val="28"/>
                <w:szCs w:val="28"/>
                <w:lang w:bidi="ar-SA"/>
              </w:rPr>
            </w:pPr>
            <w:r>
              <w:rPr>
                <w:rFonts w:ascii="Times New Roman" w:hAnsi="Times New Roman" w:eastAsia="仿宋_GB2312"/>
                <w:bCs/>
                <w:sz w:val="28"/>
                <w:szCs w:val="28"/>
                <w:lang w:bidi="ar-SA"/>
              </w:rPr>
              <w:t>相关文书送达方式</w:t>
            </w:r>
          </w:p>
        </w:tc>
        <w:tc>
          <w:tcPr>
            <w:tcW w:w="7599" w:type="dxa"/>
            <w:gridSpan w:val="4"/>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  ）邮件送达，电子邮箱为：                                  </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  ）快递送达，邮寄地址为：                                  </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）自行到窗口取件。</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 xml:space="preserve">  注：请在括号内打“√”邮件送达方式为文书扫描件，快递送达方式为文书原件。可同时选择邮件送达和快递送达两种方式，请申请人在提交申请表时一并明确。</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108" w:type="dxa"/>
            <w:bottom w:w="0" w:type="dxa"/>
            <w:right w:w="108" w:type="dxa"/>
          </w:tblCellMar>
        </w:tblPrEx>
        <w:trPr>
          <w:jc w:val="center"/>
        </w:trPr>
        <w:tc>
          <w:tcPr>
            <w:tcW w:w="923" w:type="dxa"/>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bCs/>
                <w:sz w:val="28"/>
                <w:szCs w:val="28"/>
                <w:lang w:bidi="ar-SA"/>
              </w:rPr>
            </w:pPr>
            <w:r>
              <w:rPr>
                <w:rFonts w:ascii="Times New Roman" w:hAnsi="Times New Roman" w:eastAsia="仿宋_GB2312"/>
                <w:bCs/>
                <w:sz w:val="28"/>
                <w:szCs w:val="28"/>
                <w:lang w:bidi="ar-SA"/>
              </w:rPr>
              <w:t>备注</w:t>
            </w:r>
          </w:p>
        </w:tc>
        <w:tc>
          <w:tcPr>
            <w:tcW w:w="7599" w:type="dxa"/>
            <w:gridSpan w:val="4"/>
            <w:vAlign w:val="center"/>
          </w:tcPr>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本表一式三份，生态环境部门、建设单位、环评编制单位各存一份。打印多页，应加盖骑缝章。</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填表说明：</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1、项目名称：必须按照发改、经信部门核定（核准、审批或备案）的名称进行填写，完整、准确，不得随意进行更换。</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2、立项文号：核准或审批制项目填写发改、经信等主管部门下发的核准或审批文书文号，备案制项目填写企业投资备案号。</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3、建设地点：拟建项目的实际地点，工业项目具体到门牌号（或地块名称），线性工程应准确填写项目起止点。</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4、环境影响评价行业类别：指本项目参照《建设项目环境影响评价分类管理名录》规定所对应类别，例如“60、黑色金属铸造—其他”。</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5、规划环评开展情况：项目属于规划环评所包含的非限制或禁止发展项目，填写项目所在区域已开展规划环评的名称及审查文件文号。</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6、建设单位：完整、准确填写建设单位名称，必须与在登记机关登记的名称一致。</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7、统一社会信用代码（组织机构代码）：完整、准确填写建设单位统一社会信用代码，必须与在登记机关登记的代码一致。其他的应注明机构类型。</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8、授权经办人员信息：原则上应当为本单位已经建立稳定劳动合同关系的职工，并明确获得办理环评手续的业务授权，其行为（决定）视为建设单位的具体行为（决定）。</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9、评价单位：指承担本项目环境影响评价工作的环境影响评价编制单位，应当完整、准确填写评价机构的名称。环境影响评价编制单位为建设单位自身时，按本备注中第6条要求填写。</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10、统一社会信用代码（组织机构代码）：完整、准确填写环境影响评价编制单位的统一社会信用代码，必须与在登记机关登记的代码一致。其他的应注明机构类型。环境影响评价编制单位为建设单位时，按本备注中第7条要求填写。</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11、编制主持人职业资格证书编号：指具体承担主持编制本项目环评文件人员的职（执）业资格证书编号，应与《××××环境影响报告表》中的编制人员情况表保持一致。</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12、建设单位承诺：为格式文本，原则上不允许修改，建设单位若有进行修改的，应当在报批时进行说明。有其他承诺事项或内容的，可以进一步补充。</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13、环评编制单位承诺：为格式文本，原则上不允许修改，环评编制单位若有进行修改的，应当在报批时进行说明。有其他承诺事项或内容的，可以进一步补充。编制主持人必须由本人签字。</w:t>
            </w:r>
          </w:p>
          <w:p>
            <w:pPr>
              <w:keepLines w:val="0"/>
              <w:suppressLineNumbers w:val="0"/>
              <w:spacing w:beforeAutospacing="0" w:after="0" w:afterAutospacing="0" w:line="360" w:lineRule="exact"/>
              <w:ind w:left="0" w:right="0" w:firstLine="0" w:firstLineChars="0"/>
              <w:rPr>
                <w:rFonts w:ascii="Times New Roman" w:hAnsi="Times New Roman" w:eastAsia="仿宋_GB2312"/>
                <w:sz w:val="28"/>
                <w:szCs w:val="28"/>
                <w:lang w:bidi="ar-SA"/>
              </w:rPr>
            </w:pPr>
            <w:r>
              <w:rPr>
                <w:rFonts w:ascii="Times New Roman" w:hAnsi="Times New Roman" w:eastAsia="仿宋_GB2312"/>
                <w:sz w:val="28"/>
                <w:szCs w:val="28"/>
                <w:lang w:bidi="ar-SA"/>
              </w:rPr>
              <w:t>14、相关文书送达方式：为进一步提高环评审批工作效率，市生态环境局为申请人提供多种申请途径，供申请人选择，申请人可以针对审批过程中产生的文书选择一种便利的送达方式。若申请人需要可前往窗口取件，原则鼓励采用邮寄或电子邮件送达方式。</w:t>
            </w:r>
          </w:p>
        </w:tc>
      </w:tr>
    </w:tbl>
    <w:p>
      <w:pPr>
        <w:ind w:firstLine="0" w:firstLineChars="0"/>
        <w:jc w:val="left"/>
        <w:rPr>
          <w:rFonts w:hint="eastAsia" w:ascii="仿宋_GB2312" w:eastAsia="仿宋_GB2312"/>
          <w:spacing w:val="0"/>
          <w:kern w:val="2"/>
          <w:sz w:val="32"/>
          <w:szCs w:val="32"/>
          <w:lang w:bidi="ar-SA"/>
        </w:rPr>
      </w:pPr>
    </w:p>
    <w:p>
      <w:pPr>
        <w:ind w:firstLine="0" w:firstLineChars="0"/>
        <w:jc w:val="left"/>
        <w:rPr>
          <w:rFonts w:hint="eastAsia" w:ascii="仿宋_GB2312" w:eastAsia="仿宋_GB2312"/>
          <w:spacing w:val="0"/>
          <w:kern w:val="2"/>
          <w:sz w:val="32"/>
          <w:szCs w:val="32"/>
          <w:lang w:bidi="ar-SA"/>
        </w:rPr>
      </w:pPr>
    </w:p>
    <w:p>
      <w:pPr>
        <w:ind w:firstLine="0" w:firstLineChars="0"/>
        <w:jc w:val="left"/>
        <w:rPr>
          <w:rFonts w:hint="eastAsia" w:ascii="仿宋_GB2312" w:eastAsia="仿宋_GB2312"/>
          <w:spacing w:val="0"/>
          <w:kern w:val="2"/>
          <w:sz w:val="32"/>
          <w:szCs w:val="32"/>
          <w:lang w:bidi="ar-SA"/>
        </w:rPr>
      </w:pPr>
    </w:p>
    <w:p>
      <w:pPr>
        <w:ind w:firstLine="0" w:firstLineChars="0"/>
        <w:jc w:val="left"/>
        <w:rPr>
          <w:rFonts w:hint="eastAsia" w:ascii="仿宋_GB2312" w:eastAsia="仿宋_GB2312"/>
          <w:spacing w:val="0"/>
          <w:kern w:val="2"/>
          <w:sz w:val="32"/>
          <w:szCs w:val="32"/>
          <w:lang w:bidi="ar-SA"/>
        </w:rPr>
      </w:pPr>
    </w:p>
    <w:p>
      <w:pPr>
        <w:ind w:firstLine="0" w:firstLineChars="0"/>
        <w:jc w:val="left"/>
        <w:rPr>
          <w:rFonts w:hint="eastAsia" w:ascii="仿宋_GB2312" w:eastAsia="仿宋_GB2312"/>
          <w:spacing w:val="0"/>
          <w:kern w:val="2"/>
          <w:sz w:val="32"/>
          <w:szCs w:val="32"/>
          <w:lang w:bidi="ar-SA"/>
        </w:rPr>
      </w:pPr>
    </w:p>
    <w:p>
      <w:pPr>
        <w:ind w:firstLine="0" w:firstLineChars="0"/>
        <w:jc w:val="left"/>
        <w:rPr>
          <w:rFonts w:hint="eastAsia" w:ascii="仿宋_GB2312" w:eastAsia="仿宋_GB2312"/>
          <w:spacing w:val="0"/>
          <w:kern w:val="2"/>
          <w:sz w:val="32"/>
          <w:szCs w:val="32"/>
          <w:lang w:bidi="ar-SA"/>
        </w:rPr>
      </w:pPr>
    </w:p>
    <w:p>
      <w:pPr>
        <w:ind w:firstLine="0" w:firstLineChars="0"/>
        <w:jc w:val="left"/>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附件3</w:t>
      </w:r>
    </w:p>
    <w:p>
      <w:pPr>
        <w:spacing w:beforeAutospacing="0" w:afterAutospacing="0" w:line="240" w:lineRule="auto"/>
        <w:jc w:val="center"/>
        <w:rPr>
          <w:rFonts w:hint="eastAsia" w:ascii="方正小标宋简体" w:eastAsia="方正小标宋简体"/>
          <w:spacing w:val="0"/>
          <w:kern w:val="2"/>
          <w:sz w:val="44"/>
          <w:szCs w:val="44"/>
          <w:lang w:bidi="ar-SA"/>
        </w:rPr>
      </w:pPr>
      <w:r>
        <w:rPr>
          <w:rFonts w:hint="eastAsia" w:ascii="方正小标宋简体" w:eastAsia="方正小标宋简体"/>
          <w:spacing w:val="0"/>
          <w:kern w:val="2"/>
          <w:sz w:val="44"/>
          <w:szCs w:val="44"/>
          <w:lang w:bidi="ar-SA"/>
        </w:rPr>
        <w:t>水土保持行政许可承诺书</w:t>
      </w:r>
      <w:r>
        <w:rPr>
          <w:rFonts w:ascii="Times New Roman" w:hAnsi="Times New Roman" w:eastAsia="方正仿宋_GBK"/>
          <w:spacing w:val="0"/>
          <w:kern w:val="2"/>
          <w:sz w:val="32"/>
          <w:szCs w:val="32"/>
          <w:lang w:bidi="ar-SA"/>
        </w:rPr>
        <w:t xml:space="preserve">          </w:t>
      </w:r>
      <w:r>
        <w:rPr>
          <w:rFonts w:hint="eastAsia" w:ascii="Times New Roman" w:hAnsi="Times New Roman" w:eastAsia="方正仿宋_GBK"/>
          <w:spacing w:val="0"/>
          <w:kern w:val="2"/>
          <w:sz w:val="32"/>
          <w:szCs w:val="32"/>
          <w:lang w:bidi="ar-SA"/>
        </w:rPr>
        <w:t xml:space="preserve">                </w:t>
      </w:r>
    </w:p>
    <w:tbl>
      <w:tblPr>
        <w:tblStyle w:val="2"/>
        <w:tblW w:w="0" w:type="auto"/>
        <w:tblInd w:w="-108" w:type="dxa"/>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Layout w:type="fixed"/>
        <w:tblCellMar>
          <w:top w:w="0" w:type="dxa"/>
          <w:left w:w="108" w:type="dxa"/>
          <w:bottom w:w="0" w:type="dxa"/>
          <w:right w:w="108" w:type="dxa"/>
        </w:tblCellMar>
      </w:tblPr>
      <w:tblGrid>
        <w:gridCol w:w="959"/>
        <w:gridCol w:w="8221"/>
      </w:tblGrid>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968" w:hRule="atLeast"/>
        </w:trPr>
        <w:tc>
          <w:tcPr>
            <w:tcW w:w="959" w:type="dxa"/>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项目名称</w:t>
            </w:r>
          </w:p>
        </w:tc>
        <w:tc>
          <w:tcPr>
            <w:tcW w:w="8221" w:type="dxa"/>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1028" w:hRule="atLeast"/>
        </w:trPr>
        <w:tc>
          <w:tcPr>
            <w:tcW w:w="959" w:type="dxa"/>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建设地点</w:t>
            </w:r>
          </w:p>
        </w:tc>
        <w:tc>
          <w:tcPr>
            <w:tcW w:w="8221" w:type="dxa"/>
            <w:vAlign w:val="center"/>
          </w:tcPr>
          <w:p>
            <w:pPr>
              <w:keepLines w:val="0"/>
              <w:suppressLineNumbers w:val="0"/>
              <w:spacing w:beforeAutospacing="0" w:after="0" w:afterAutospacing="0" w:line="500" w:lineRule="exact"/>
              <w:ind w:left="0" w:right="0" w:firstLine="0" w:firstLineChars="0"/>
              <w:rPr>
                <w:rFonts w:hint="eastAsia" w:ascii="仿宋_GB2312" w:eastAsia="仿宋_GB2312"/>
                <w:color w:val="000000"/>
                <w:spacing w:val="0"/>
                <w:kern w:val="2"/>
                <w:sz w:val="28"/>
                <w:szCs w:val="28"/>
                <w:lang w:bidi="ar-SA"/>
              </w:rPr>
            </w:pPr>
            <w:r>
              <w:rPr>
                <w:rFonts w:hint="eastAsia" w:ascii="仿宋_GB2312" w:eastAsia="仿宋_GB2312"/>
                <w:color w:val="000000"/>
                <w:spacing w:val="0"/>
                <w:kern w:val="2"/>
                <w:sz w:val="28"/>
                <w:szCs w:val="28"/>
                <w:lang w:bidi="ar-SA"/>
              </w:rPr>
              <w:t>[点式工程，应明确至乡(镇)村(组)及街道(社区),并填写经纬度;线型工程，应明确起点，终点、所经路径，并填写起止点经纬度]</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684" w:hRule="atLeast"/>
        </w:trPr>
        <w:tc>
          <w:tcPr>
            <w:tcW w:w="959" w:type="dxa"/>
            <w:vMerge w:val="restart"/>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区域评估情况</w:t>
            </w:r>
          </w:p>
        </w:tc>
        <w:tc>
          <w:tcPr>
            <w:tcW w:w="8221" w:type="dxa"/>
            <w:vAlign w:val="center"/>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开发区名称：</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899" w:hRule="atLeast"/>
        </w:trPr>
        <w:tc>
          <w:tcPr>
            <w:tcW w:w="959" w:type="dxa"/>
            <w:vMerge w:val="continue"/>
            <w:vAlign w:val="center"/>
          </w:tcPr>
          <w:p/>
        </w:tc>
        <w:tc>
          <w:tcPr>
            <w:tcW w:w="8221" w:type="dxa"/>
            <w:vAlign w:val="top"/>
          </w:tcPr>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水土保持区域评估报告审批机关、文号及时间：</w:t>
            </w:r>
          </w:p>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680" w:hRule="atLeast"/>
        </w:trPr>
        <w:tc>
          <w:tcPr>
            <w:tcW w:w="959" w:type="dxa"/>
            <w:vMerge w:val="restart"/>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水土保持方案公开情况</w:t>
            </w:r>
          </w:p>
        </w:tc>
        <w:tc>
          <w:tcPr>
            <w:tcW w:w="8221" w:type="dxa"/>
            <w:vAlign w:val="top"/>
          </w:tcPr>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公示网站：</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680" w:hRule="atLeast"/>
        </w:trPr>
        <w:tc>
          <w:tcPr>
            <w:tcW w:w="959" w:type="dxa"/>
            <w:vMerge w:val="continue"/>
            <w:vAlign w:val="center"/>
          </w:tcPr>
          <w:p/>
        </w:tc>
        <w:tc>
          <w:tcPr>
            <w:tcW w:w="8221" w:type="dxa"/>
            <w:vAlign w:val="top"/>
          </w:tcPr>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起止时间：    年  月  日至    年  月  日</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1290" w:hRule="atLeast"/>
        </w:trPr>
        <w:tc>
          <w:tcPr>
            <w:tcW w:w="959" w:type="dxa"/>
            <w:vMerge w:val="continue"/>
            <w:vAlign w:val="center"/>
          </w:tcPr>
          <w:p/>
        </w:tc>
        <w:tc>
          <w:tcPr>
            <w:tcW w:w="8221" w:type="dxa"/>
            <w:vAlign w:val="top"/>
          </w:tcPr>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公众意见接收和处理情况：</w:t>
            </w:r>
          </w:p>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p>
          <w:p>
            <w:pPr>
              <w:keepLines w:val="0"/>
              <w:suppressLineNumbers w:val="0"/>
              <w:spacing w:beforeAutospacing="0" w:after="0" w:afterAutospacing="0" w:line="500" w:lineRule="exact"/>
              <w:ind w:left="0" w:right="0" w:firstLine="0" w:firstLineChars="0"/>
              <w:jc w:val="left"/>
              <w:rPr>
                <w:rFonts w:hint="eastAsia" w:ascii="仿宋_GB2312" w:eastAsia="仿宋_GB2312"/>
                <w:spacing w:val="0"/>
                <w:kern w:val="2"/>
                <w:sz w:val="28"/>
                <w:szCs w:val="28"/>
                <w:lang w:bidi="ar-SA"/>
              </w:rPr>
            </w:pP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455" w:hRule="atLeast"/>
        </w:trPr>
        <w:tc>
          <w:tcPr>
            <w:tcW w:w="959" w:type="dxa"/>
            <w:vMerge w:val="restart"/>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生产建设单位（项目单位）</w:t>
            </w:r>
          </w:p>
        </w:tc>
        <w:tc>
          <w:tcPr>
            <w:tcW w:w="8221" w:type="dxa"/>
            <w:vAlign w:val="top"/>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名称：</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560" w:hRule="atLeast"/>
        </w:trPr>
        <w:tc>
          <w:tcPr>
            <w:tcW w:w="959" w:type="dxa"/>
            <w:vMerge w:val="continue"/>
            <w:vAlign w:val="center"/>
          </w:tcPr>
          <w:p/>
        </w:tc>
        <w:tc>
          <w:tcPr>
            <w:tcW w:w="8221" w:type="dxa"/>
            <w:vAlign w:val="top"/>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统一社会信用代码：</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1304" w:hRule="atLeast"/>
        </w:trPr>
        <w:tc>
          <w:tcPr>
            <w:tcW w:w="959" w:type="dxa"/>
            <w:vMerge w:val="continue"/>
            <w:vAlign w:val="center"/>
          </w:tcPr>
          <w:p/>
        </w:tc>
        <w:tc>
          <w:tcPr>
            <w:tcW w:w="8221" w:type="dxa"/>
            <w:vAlign w:val="center"/>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地址：                 </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电子信箱：</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680" w:hRule="atLeast"/>
        </w:trPr>
        <w:tc>
          <w:tcPr>
            <w:tcW w:w="959" w:type="dxa"/>
            <w:vMerge w:val="continue"/>
            <w:vAlign w:val="center"/>
          </w:tcPr>
          <w:p/>
        </w:tc>
        <w:tc>
          <w:tcPr>
            <w:tcW w:w="8221" w:type="dxa"/>
            <w:vAlign w:val="center"/>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法人代表：                联系电话：</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rPr>
          <w:trHeight w:val="1304" w:hRule="atLeast"/>
        </w:trPr>
        <w:tc>
          <w:tcPr>
            <w:tcW w:w="959" w:type="dxa"/>
            <w:vMerge w:val="continue"/>
            <w:vAlign w:val="center"/>
          </w:tcPr>
          <w:p/>
        </w:tc>
        <w:tc>
          <w:tcPr>
            <w:tcW w:w="8221" w:type="dxa"/>
            <w:vAlign w:val="center"/>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授权经办人姓名：          联系电话：</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证件类型及号码：</w:t>
            </w:r>
          </w:p>
        </w:tc>
      </w:tr>
      <w:tr>
        <w:tblPrEx>
          <w:tblBorders>
            <w:top w:val="single" w:color="000000" w:sz="12" w:space="0"/>
            <w:left w:val="single" w:color="000000" w:sz="12" w:space="0"/>
            <w:bottom w:val="single" w:color="000000" w:sz="12" w:space="0"/>
            <w:right w:val="single" w:color="000000" w:sz="12" w:space="0"/>
            <w:insideH w:val="outset" w:color="000000" w:sz="6" w:space="0"/>
            <w:insideV w:val="outset" w:color="000000" w:sz="6" w:space="0"/>
          </w:tblBorders>
          <w:tblCellMar>
            <w:top w:w="0" w:type="dxa"/>
            <w:left w:w="108" w:type="dxa"/>
            <w:bottom w:w="0" w:type="dxa"/>
            <w:right w:w="108" w:type="dxa"/>
          </w:tblCellMar>
        </w:tblPrEx>
        <w:tc>
          <w:tcPr>
            <w:tcW w:w="959" w:type="dxa"/>
            <w:vAlign w:val="center"/>
          </w:tcPr>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生产建设单位承诺内容</w:t>
            </w:r>
          </w:p>
        </w:tc>
        <w:tc>
          <w:tcPr>
            <w:tcW w:w="8221" w:type="dxa"/>
            <w:vAlign w:val="top"/>
          </w:tcPr>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    1.已经知晓并将认真履行水土保持各项法定义务。</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2.所填写的信息真实、完整、准确；所提交的水土保持方案符合相关法律法规、技术标准的要求。</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rPr>
            </w:pPr>
            <w:r>
              <w:rPr>
                <w:rFonts w:hint="eastAsia" w:ascii="仿宋_GB2312" w:eastAsia="仿宋_GB2312"/>
                <w:spacing w:val="0"/>
                <w:kern w:val="2"/>
                <w:sz w:val="28"/>
                <w:szCs w:val="28"/>
              </w:rPr>
              <w:t>3.</w:t>
            </w:r>
            <w:r>
              <w:rPr>
                <w:rFonts w:hint="eastAsia" w:ascii="仿宋_GB2312" w:eastAsia="仿宋_GB2312"/>
                <w:spacing w:val="0"/>
                <w:kern w:val="2"/>
                <w:sz w:val="28"/>
                <w:szCs w:val="28"/>
                <w:lang w:bidi="ar-SA"/>
              </w:rPr>
              <w:t>做好水土保持工程后续设计和施工组织工作，加强对施工单位的管理，严格执行水土保持“三同时”制度，按照所提交的水土保持方案，落实各项水土保持措施，有效防治项目建设中的水土流失；项目投产使用前完成水土保持设施自主验收并报备。</w:t>
            </w:r>
          </w:p>
          <w:p>
            <w:pPr>
              <w:keepLines w:val="0"/>
              <w:suppressLineNumbers w:val="0"/>
              <w:spacing w:beforeAutospacing="0" w:after="0" w:afterAutospacing="0" w:line="580" w:lineRule="exact"/>
              <w:ind w:left="0" w:right="0" w:firstLine="0" w:firstLineChars="0"/>
              <w:rPr>
                <w:rFonts w:hint="eastAsia" w:ascii="仿宋_GB2312" w:eastAsia="仿宋_GB2312"/>
                <w:spacing w:val="0"/>
                <w:kern w:val="2"/>
                <w:sz w:val="28"/>
                <w:szCs w:val="28"/>
              </w:rPr>
            </w:pPr>
            <w:r>
              <w:rPr>
                <w:rFonts w:hint="eastAsia" w:ascii="仿宋_GB2312" w:eastAsia="仿宋_GB2312"/>
                <w:spacing w:val="0"/>
                <w:kern w:val="2"/>
                <w:sz w:val="28"/>
                <w:szCs w:val="28"/>
              </w:rPr>
              <w:t>4.</w:t>
            </w:r>
            <w:r>
              <w:rPr>
                <w:rFonts w:hint="eastAsia" w:ascii="仿宋_GB2312" w:eastAsia="仿宋_GB2312"/>
                <w:spacing w:val="0"/>
                <w:kern w:val="2"/>
                <w:sz w:val="28"/>
                <w:szCs w:val="28"/>
                <w:lang w:bidi="ar-SA"/>
              </w:rPr>
              <w:t>项目的建设规模、地点发生重大变更时，及时修改水土保持方案并上报审批。</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rPr>
            </w:pPr>
            <w:r>
              <w:rPr>
                <w:rFonts w:hint="eastAsia" w:ascii="仿宋_GB2312" w:eastAsia="仿宋_GB2312"/>
                <w:spacing w:val="0"/>
                <w:kern w:val="2"/>
                <w:sz w:val="28"/>
                <w:szCs w:val="28"/>
              </w:rPr>
              <w:t>5.</w:t>
            </w:r>
            <w:r>
              <w:rPr>
                <w:rFonts w:hint="eastAsia" w:ascii="仿宋_GB2312" w:eastAsia="仿宋_GB2312"/>
                <w:spacing w:val="0"/>
                <w:kern w:val="2"/>
                <w:sz w:val="28"/>
                <w:szCs w:val="28"/>
                <w:lang w:bidi="ar-SA"/>
              </w:rPr>
              <w:t>依法依规开展水土保持监测、监理工作。</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    </w:t>
            </w:r>
            <w:r>
              <w:rPr>
                <w:rFonts w:hint="eastAsia" w:ascii="仿宋_GB2312" w:eastAsia="仿宋_GB2312"/>
                <w:spacing w:val="0"/>
                <w:kern w:val="2"/>
                <w:sz w:val="28"/>
                <w:szCs w:val="28"/>
              </w:rPr>
              <w:t>6</w:t>
            </w:r>
            <w:r>
              <w:rPr>
                <w:rFonts w:hint="eastAsia" w:ascii="仿宋_GB2312" w:eastAsia="仿宋_GB2312"/>
                <w:spacing w:val="0"/>
                <w:kern w:val="2"/>
                <w:sz w:val="28"/>
                <w:szCs w:val="28"/>
                <w:lang w:bidi="ar-SA"/>
              </w:rPr>
              <w:t>.依法依规按时足额缴纳水土保持补偿费。</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    </w:t>
            </w:r>
            <w:r>
              <w:rPr>
                <w:rFonts w:hint="eastAsia" w:ascii="仿宋_GB2312" w:eastAsia="仿宋_GB2312"/>
                <w:spacing w:val="0"/>
                <w:kern w:val="2"/>
                <w:sz w:val="28"/>
                <w:szCs w:val="28"/>
              </w:rPr>
              <w:t>7</w:t>
            </w:r>
            <w:r>
              <w:rPr>
                <w:rFonts w:hint="eastAsia" w:ascii="仿宋_GB2312" w:eastAsia="仿宋_GB2312"/>
                <w:spacing w:val="0"/>
                <w:kern w:val="2"/>
                <w:sz w:val="28"/>
                <w:szCs w:val="28"/>
                <w:lang w:bidi="ar-SA"/>
              </w:rPr>
              <w:t>.积极配合水土保持监督检查。</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    </w:t>
            </w:r>
            <w:r>
              <w:rPr>
                <w:rFonts w:hint="eastAsia" w:ascii="仿宋_GB2312" w:eastAsia="仿宋_GB2312"/>
                <w:spacing w:val="0"/>
                <w:kern w:val="2"/>
                <w:sz w:val="28"/>
                <w:szCs w:val="28"/>
              </w:rPr>
              <w:t>8</w:t>
            </w:r>
            <w:r>
              <w:rPr>
                <w:rFonts w:hint="eastAsia" w:ascii="仿宋_GB2312" w:eastAsia="仿宋_GB2312"/>
                <w:spacing w:val="0"/>
                <w:kern w:val="2"/>
                <w:sz w:val="28"/>
                <w:szCs w:val="28"/>
                <w:lang w:bidi="ar-SA"/>
              </w:rPr>
              <w:t>.愿意承担作出不实承诺或者未履行承诺的法律责任和失信责任。</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    </w:t>
            </w:r>
            <w:r>
              <w:rPr>
                <w:rFonts w:hint="eastAsia" w:ascii="仿宋_GB2312" w:eastAsia="仿宋_GB2312"/>
                <w:spacing w:val="0"/>
                <w:kern w:val="2"/>
                <w:sz w:val="28"/>
                <w:szCs w:val="28"/>
              </w:rPr>
              <w:t>9.</w:t>
            </w:r>
            <w:r>
              <w:rPr>
                <w:rFonts w:hint="eastAsia" w:ascii="仿宋_GB2312" w:eastAsia="仿宋_GB2312"/>
                <w:spacing w:val="0"/>
                <w:kern w:val="2"/>
                <w:sz w:val="28"/>
                <w:szCs w:val="28"/>
                <w:lang w:bidi="ar-SA"/>
              </w:rPr>
              <w:t>其他需要承诺的事项。</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p>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法人代表（签字）：</w:t>
            </w:r>
          </w:p>
          <w:p>
            <w:pPr>
              <w:keepLines w:val="0"/>
              <w:suppressLineNumbers w:val="0"/>
              <w:spacing w:beforeAutospacing="0" w:after="0" w:afterAutospacing="0" w:line="500" w:lineRule="exact"/>
              <w:ind w:left="0" w:right="0" w:firstLine="0" w:firstLineChars="0"/>
              <w:jc w:val="center"/>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生产建设单位（盖章）：</w:t>
            </w:r>
          </w:p>
          <w:p>
            <w:pPr>
              <w:keepLines w:val="0"/>
              <w:suppressLineNumbers w:val="0"/>
              <w:spacing w:beforeAutospacing="0" w:after="0" w:afterAutospacing="0" w:line="500" w:lineRule="exact"/>
              <w:ind w:left="0" w:right="0" w:firstLine="0" w:firstLineChars="0"/>
              <w:rPr>
                <w:rFonts w:hint="eastAsia" w:ascii="仿宋_GB2312" w:eastAsia="仿宋_GB2312"/>
                <w:spacing w:val="0"/>
                <w:kern w:val="2"/>
                <w:sz w:val="28"/>
                <w:szCs w:val="28"/>
                <w:lang w:bidi="ar-SA"/>
              </w:rPr>
            </w:pPr>
            <w:r>
              <w:rPr>
                <w:rFonts w:hint="eastAsia" w:ascii="仿宋_GB2312" w:eastAsia="仿宋_GB2312"/>
                <w:spacing w:val="0"/>
                <w:kern w:val="2"/>
                <w:sz w:val="28"/>
                <w:szCs w:val="28"/>
                <w:lang w:bidi="ar-SA"/>
              </w:rPr>
              <w:t xml:space="preserve">                                  年  月  日</w:t>
            </w:r>
          </w:p>
        </w:tc>
      </w:tr>
    </w:tbl>
    <w:p>
      <w:pPr>
        <w:ind w:firstLine="0" w:firstLineChars="0"/>
        <w:jc w:val="left"/>
        <w:rPr>
          <w:rFonts w:hint="eastAsia" w:ascii="仿宋_GB2312" w:eastAsia="仿宋_GB2312"/>
          <w:spacing w:val="0"/>
          <w:kern w:val="2"/>
          <w:sz w:val="32"/>
          <w:szCs w:val="32"/>
          <w:lang w:bidi="ar-SA"/>
        </w:rPr>
      </w:pPr>
    </w:p>
    <w:p>
      <w:pPr>
        <w:ind w:firstLine="0" w:firstLineChars="0"/>
        <w:jc w:val="left"/>
        <w:rPr>
          <w:rFonts w:hint="eastAsia" w:ascii="黑体" w:eastAsia="黑体"/>
          <w:spacing w:val="0"/>
          <w:kern w:val="2"/>
          <w:sz w:val="32"/>
          <w:szCs w:val="32"/>
          <w:lang w:bidi="ar-SA"/>
        </w:rPr>
      </w:pPr>
    </w:p>
    <w:p>
      <w:pPr>
        <w:ind w:firstLine="0" w:firstLineChars="0"/>
        <w:jc w:val="left"/>
        <w:rPr>
          <w:rFonts w:hint="eastAsia" w:ascii="黑体" w:eastAsia="黑体"/>
          <w:spacing w:val="0"/>
          <w:kern w:val="2"/>
          <w:sz w:val="32"/>
          <w:szCs w:val="32"/>
          <w:lang w:bidi="ar-SA"/>
        </w:rPr>
      </w:pPr>
    </w:p>
    <w:p>
      <w:pPr>
        <w:ind w:firstLine="0" w:firstLineChars="0"/>
        <w:jc w:val="left"/>
        <w:rPr>
          <w:rFonts w:hint="eastAsia" w:ascii="黑体" w:eastAsia="黑体"/>
          <w:spacing w:val="0"/>
          <w:kern w:val="2"/>
          <w:sz w:val="32"/>
          <w:szCs w:val="32"/>
          <w:lang w:bidi="ar-SA"/>
        </w:rPr>
      </w:pPr>
    </w:p>
    <w:p>
      <w:pPr>
        <w:ind w:firstLine="0" w:firstLineChars="0"/>
        <w:jc w:val="left"/>
        <w:rPr>
          <w:rFonts w:hint="eastAsia" w:ascii="黑体" w:eastAsia="黑体"/>
          <w:spacing w:val="0"/>
          <w:kern w:val="2"/>
          <w:sz w:val="32"/>
          <w:szCs w:val="32"/>
          <w:lang w:bidi="ar-SA"/>
        </w:rPr>
      </w:pPr>
    </w:p>
    <w:p>
      <w:pPr>
        <w:ind w:firstLine="0" w:firstLineChars="0"/>
        <w:jc w:val="left"/>
        <w:rPr>
          <w:rFonts w:ascii="Times New Roman" w:hAnsi="Times New Roman" w:eastAsia="黑体"/>
          <w:spacing w:val="0"/>
          <w:kern w:val="2"/>
          <w:sz w:val="32"/>
          <w:szCs w:val="32"/>
          <w:lang w:bidi="ar-SA"/>
        </w:rPr>
      </w:pPr>
      <w:r>
        <w:rPr>
          <w:rFonts w:ascii="Times New Roman" w:hAnsi="Times New Roman" w:eastAsia="黑体"/>
          <w:spacing w:val="0"/>
          <w:kern w:val="2"/>
          <w:sz w:val="32"/>
          <w:szCs w:val="32"/>
          <w:lang w:bidi="ar-SA"/>
        </w:rPr>
        <w:t>附件4</w:t>
      </w:r>
    </w:p>
    <w:p>
      <w:pPr>
        <w:ind w:firstLine="0" w:firstLineChars="0"/>
        <w:jc w:val="left"/>
        <w:rPr>
          <w:rFonts w:hint="eastAsia" w:ascii="黑体" w:eastAsia="黑体"/>
          <w:spacing w:val="0"/>
          <w:kern w:val="2"/>
          <w:sz w:val="32"/>
          <w:szCs w:val="32"/>
          <w:lang w:bidi="ar-SA"/>
        </w:rPr>
      </w:pPr>
    </w:p>
    <w:p>
      <w:pPr>
        <w:snapToGrid w:val="0"/>
        <w:spacing w:beforeAutospacing="0" w:afterAutospacing="0" w:line="570" w:lineRule="exact"/>
        <w:ind w:firstLine="0" w:firstLineChars="0"/>
        <w:jc w:val="center"/>
        <w:rPr>
          <w:rFonts w:hint="eastAsia" w:ascii="方正小标宋简体" w:eastAsia="方正小标宋简体"/>
          <w:spacing w:val="0"/>
          <w:kern w:val="2"/>
          <w:sz w:val="44"/>
          <w:szCs w:val="44"/>
          <w:lang w:bidi="ar-SA"/>
        </w:rPr>
      </w:pPr>
      <w:r>
        <w:rPr>
          <w:rFonts w:hint="eastAsia" w:ascii="方正小标宋简体" w:eastAsia="方正小标宋简体"/>
          <w:spacing w:val="0"/>
          <w:kern w:val="2"/>
          <w:sz w:val="44"/>
          <w:szCs w:val="44"/>
          <w:lang w:bidi="ar-SA"/>
        </w:rPr>
        <w:t>普通林木种子生产经营许可新办审批（市级）</w:t>
      </w:r>
    </w:p>
    <w:p>
      <w:pPr>
        <w:snapToGrid w:val="0"/>
        <w:spacing w:beforeAutospacing="0" w:afterAutospacing="0" w:line="570" w:lineRule="exact"/>
        <w:ind w:firstLine="0" w:firstLineChars="0"/>
        <w:jc w:val="center"/>
        <w:rPr>
          <w:rFonts w:hint="eastAsia" w:ascii="方正小标宋简体" w:eastAsia="方正小标宋简体"/>
          <w:spacing w:val="0"/>
          <w:kern w:val="2"/>
          <w:sz w:val="44"/>
          <w:szCs w:val="44"/>
          <w:lang w:bidi="ar-SA"/>
        </w:rPr>
      </w:pPr>
      <w:r>
        <w:rPr>
          <w:rFonts w:hint="eastAsia" w:ascii="方正小标宋简体" w:eastAsia="方正小标宋简体"/>
          <w:spacing w:val="0"/>
          <w:kern w:val="2"/>
          <w:sz w:val="44"/>
          <w:szCs w:val="44"/>
          <w:lang w:bidi="ar-SA"/>
        </w:rPr>
        <w:t>许可事项承诺书</w:t>
      </w:r>
    </w:p>
    <w:p>
      <w:pPr>
        <w:snapToGrid w:val="0"/>
        <w:spacing w:beforeAutospacing="0" w:afterAutospacing="0" w:line="570" w:lineRule="exact"/>
        <w:ind w:firstLine="640" w:firstLineChars="200"/>
        <w:rPr>
          <w:rFonts w:hint="eastAsia" w:ascii="仿宋" w:eastAsia="仿宋"/>
          <w:spacing w:val="0"/>
          <w:kern w:val="2"/>
          <w:sz w:val="32"/>
          <w:szCs w:val="32"/>
          <w:lang w:bidi="ar-SA"/>
        </w:rPr>
      </w:pPr>
    </w:p>
    <w:p>
      <w:pPr>
        <w:snapToGrid w:val="0"/>
        <w:spacing w:beforeAutospacing="0" w:afterAutospacing="0" w:line="570" w:lineRule="exact"/>
        <w:ind w:firstLine="0" w:firstLineChars="0"/>
        <w:rPr>
          <w:rFonts w:hint="eastAsia" w:ascii="宋体" w:eastAsia="宋体"/>
          <w:spacing w:val="0"/>
          <w:kern w:val="2"/>
          <w:sz w:val="32"/>
          <w:szCs w:val="32"/>
          <w:u w:val="single"/>
          <w:lang w:bidi="ar-SA"/>
        </w:rPr>
      </w:pPr>
      <w:r>
        <w:rPr>
          <w:rFonts w:hint="eastAsia" w:ascii="宋体" w:eastAsia="宋体"/>
          <w:spacing w:val="0"/>
          <w:kern w:val="2"/>
          <w:sz w:val="32"/>
          <w:szCs w:val="32"/>
          <w:u w:val="single"/>
          <w:lang w:bidi="ar-SA"/>
        </w:rPr>
        <w:t>××××××××</w:t>
      </w:r>
      <w:r>
        <w:rPr>
          <w:rFonts w:hint="eastAsia" w:ascii="仿宋" w:eastAsia="仿宋"/>
          <w:spacing w:val="0"/>
          <w:kern w:val="2"/>
          <w:sz w:val="32"/>
          <w:szCs w:val="32"/>
          <w:u w:val="single"/>
          <w:lang w:bidi="ar-SA"/>
        </w:rPr>
        <w:t>（行政审批机关）：</w:t>
      </w:r>
    </w:p>
    <w:p>
      <w:pPr>
        <w:keepNext w:val="0"/>
        <w:keepLines w:val="0"/>
        <w:pageBreakBefore w:val="0"/>
        <w:suppressLineNumbers w:val="0"/>
        <w:shd w:val="clear" w:color="auto" w:fill="FFFFFF"/>
        <w:suppressAutoHyphens w:val="0"/>
        <w:spacing w:beforeAutospacing="0" w:afterAutospacing="0" w:line="570" w:lineRule="exact"/>
        <w:jc w:val="left"/>
        <w:rPr>
          <w:rFonts w:hint="eastAsia" w:ascii="方正仿宋_GBK" w:eastAsia="方正仿宋_GBK"/>
          <w:color w:val="000000"/>
          <w:spacing w:val="0"/>
          <w:kern w:val="0"/>
          <w:sz w:val="30"/>
          <w:szCs w:val="30"/>
          <w:shd w:val="clear" w:color="auto" w:fill="FFFFFF"/>
        </w:rPr>
      </w:pPr>
      <w:r>
        <w:rPr>
          <w:rFonts w:hint="eastAsia" w:ascii="方正仿宋_GBK" w:eastAsia="方正仿宋_GBK"/>
          <w:color w:val="000000"/>
          <w:spacing w:val="0"/>
          <w:kern w:val="0"/>
          <w:sz w:val="30"/>
          <w:szCs w:val="30"/>
          <w:shd w:val="clear" w:color="auto" w:fill="FFFFFF"/>
        </w:rPr>
        <w:t>本人已知晓行政审批机关告知的全部内容，现作出下列承诺：</w:t>
      </w:r>
    </w:p>
    <w:p>
      <w:pPr>
        <w:keepNext w:val="0"/>
        <w:keepLines w:val="0"/>
        <w:pageBreakBefore w:val="0"/>
        <w:suppressLineNumbers w:val="0"/>
        <w:shd w:val="clear" w:color="auto" w:fill="FFFFFF"/>
        <w:suppressAutoHyphens w:val="0"/>
        <w:spacing w:beforeAutospacing="0" w:afterAutospacing="0" w:line="570" w:lineRule="exact"/>
        <w:jc w:val="left"/>
        <w:rPr>
          <w:rFonts w:hint="eastAsia" w:ascii="方正仿宋_GBK" w:eastAsia="方正仿宋_GBK"/>
          <w:color w:val="000000"/>
          <w:spacing w:val="0"/>
          <w:kern w:val="0"/>
          <w:sz w:val="30"/>
          <w:szCs w:val="30"/>
          <w:shd w:val="clear" w:color="auto" w:fill="FFFFFF"/>
        </w:rPr>
      </w:pPr>
      <w:r>
        <w:rPr>
          <w:rFonts w:hint="eastAsia" w:ascii="方正仿宋_GBK" w:eastAsia="方正仿宋_GBK"/>
          <w:color w:val="000000"/>
          <w:spacing w:val="0"/>
          <w:kern w:val="0"/>
          <w:sz w:val="30"/>
          <w:szCs w:val="30"/>
          <w:shd w:val="clear" w:color="auto" w:fill="FFFFFF"/>
        </w:rPr>
        <w:t>一、所提交的材料真实、准确、完整。</w:t>
      </w:r>
    </w:p>
    <w:p>
      <w:pPr>
        <w:keepNext w:val="0"/>
        <w:keepLines w:val="0"/>
        <w:pageBreakBefore w:val="0"/>
        <w:suppressLineNumbers w:val="0"/>
        <w:shd w:val="clear" w:color="auto" w:fill="FFFFFF"/>
        <w:suppressAutoHyphens w:val="0"/>
        <w:spacing w:beforeAutospacing="0" w:afterAutospacing="0" w:line="570" w:lineRule="exact"/>
        <w:jc w:val="left"/>
        <w:rPr>
          <w:rFonts w:hint="eastAsia" w:ascii="方正仿宋_GBK" w:eastAsia="方正仿宋_GBK"/>
          <w:color w:val="000000"/>
          <w:spacing w:val="0"/>
          <w:kern w:val="0"/>
          <w:sz w:val="30"/>
          <w:szCs w:val="30"/>
          <w:shd w:val="clear" w:color="auto" w:fill="FFFFFF"/>
        </w:rPr>
      </w:pPr>
      <w:r>
        <w:rPr>
          <w:rFonts w:hint="eastAsia" w:ascii="方正仿宋_GBK" w:eastAsia="方正仿宋_GBK"/>
          <w:color w:val="000000"/>
          <w:spacing w:val="0"/>
          <w:kern w:val="0"/>
          <w:sz w:val="30"/>
          <w:szCs w:val="30"/>
          <w:shd w:val="clear" w:color="auto" w:fill="FFFFFF"/>
        </w:rPr>
        <w:t>二、符合行政审批机关告知的条件、标准和要求。</w:t>
      </w:r>
    </w:p>
    <w:p>
      <w:pPr>
        <w:keepNext w:val="0"/>
        <w:keepLines w:val="0"/>
        <w:pageBreakBefore w:val="0"/>
        <w:suppressLineNumbers w:val="0"/>
        <w:shd w:val="clear" w:color="auto" w:fill="FFFFFF"/>
        <w:suppressAutoHyphens w:val="0"/>
        <w:spacing w:beforeAutospacing="0" w:afterAutospacing="0" w:line="570" w:lineRule="exact"/>
        <w:jc w:val="left"/>
        <w:rPr>
          <w:rFonts w:hint="eastAsia" w:ascii="方正仿宋_GBK" w:eastAsia="方正仿宋_GBK"/>
          <w:color w:val="000000"/>
          <w:spacing w:val="0"/>
          <w:kern w:val="0"/>
          <w:sz w:val="30"/>
          <w:szCs w:val="30"/>
          <w:shd w:val="clear" w:color="auto" w:fill="FFFFFF"/>
        </w:rPr>
      </w:pPr>
      <w:r>
        <w:rPr>
          <w:rFonts w:hint="eastAsia" w:ascii="方正仿宋_GBK" w:eastAsia="方正仿宋_GBK"/>
          <w:color w:val="000000"/>
          <w:spacing w:val="0"/>
          <w:kern w:val="0"/>
          <w:sz w:val="30"/>
          <w:szCs w:val="30"/>
          <w:shd w:val="clear" w:color="auto" w:fill="FFFFFF"/>
        </w:rPr>
        <w:t>三、自愿承担违反承诺或者承诺不实的全部责任和后果。</w:t>
      </w:r>
    </w:p>
    <w:p>
      <w:pPr>
        <w:keepNext w:val="0"/>
        <w:keepLines w:val="0"/>
        <w:pageBreakBefore w:val="0"/>
        <w:suppressLineNumbers w:val="0"/>
        <w:shd w:val="clear" w:color="auto" w:fill="FFFFFF"/>
        <w:suppressAutoHyphens w:val="0"/>
        <w:spacing w:beforeAutospacing="0" w:afterAutospacing="0" w:line="570" w:lineRule="exact"/>
        <w:jc w:val="left"/>
        <w:rPr>
          <w:rFonts w:hint="eastAsia" w:ascii="方正仿宋_GBK" w:eastAsia="方正仿宋_GBK"/>
          <w:color w:val="000000"/>
          <w:spacing w:val="0"/>
          <w:kern w:val="0"/>
          <w:sz w:val="30"/>
          <w:szCs w:val="30"/>
          <w:shd w:val="clear" w:color="auto" w:fill="FFFFFF"/>
        </w:rPr>
      </w:pPr>
      <w:r>
        <w:rPr>
          <w:rFonts w:hint="eastAsia" w:ascii="方正仿宋_GBK" w:eastAsia="方正仿宋_GBK"/>
          <w:color w:val="000000"/>
          <w:spacing w:val="0"/>
          <w:kern w:val="0"/>
          <w:sz w:val="30"/>
          <w:szCs w:val="30"/>
          <w:shd w:val="clear" w:color="auto" w:fill="FFFFFF"/>
        </w:rPr>
        <w:t>特此承诺。</w:t>
      </w:r>
    </w:p>
    <w:p>
      <w:pPr>
        <w:snapToGrid w:val="0"/>
        <w:spacing w:beforeAutospacing="0" w:afterAutospacing="0" w:line="570" w:lineRule="exact"/>
        <w:rPr>
          <w:rFonts w:hint="eastAsia" w:ascii="仿宋" w:eastAsia="仿宋"/>
          <w:spacing w:val="0"/>
          <w:kern w:val="2"/>
          <w:sz w:val="32"/>
          <w:szCs w:val="32"/>
          <w:lang w:bidi="ar-SA"/>
        </w:rPr>
      </w:pPr>
    </w:p>
    <w:p>
      <w:pPr>
        <w:pStyle w:val="10"/>
        <w:rPr>
          <w:rFonts w:hint="eastAsia"/>
        </w:rPr>
      </w:pPr>
    </w:p>
    <w:p>
      <w:pPr>
        <w:snapToGrid w:val="0"/>
        <w:spacing w:beforeAutospacing="0" w:afterAutospacing="0" w:line="570" w:lineRule="exact"/>
        <w:ind w:firstLine="2550" w:firstLineChars="797"/>
        <w:rPr>
          <w:rFonts w:hint="eastAsia" w:ascii="仿宋" w:eastAsia="仿宋"/>
          <w:spacing w:val="0"/>
          <w:kern w:val="2"/>
          <w:sz w:val="32"/>
          <w:szCs w:val="32"/>
          <w:lang w:bidi="ar-SA"/>
        </w:rPr>
      </w:pPr>
      <w:r>
        <w:rPr>
          <w:rFonts w:hint="eastAsia" w:ascii="仿宋" w:eastAsia="仿宋"/>
          <w:spacing w:val="0"/>
          <w:kern w:val="2"/>
          <w:sz w:val="32"/>
          <w:szCs w:val="32"/>
          <w:lang w:bidi="ar-SA"/>
        </w:rPr>
        <w:t>法定代表人或授权代表（签字）：×××</w:t>
      </w:r>
    </w:p>
    <w:p>
      <w:pPr>
        <w:snapToGrid w:val="0"/>
        <w:spacing w:beforeAutospacing="0" w:afterAutospacing="0" w:line="570" w:lineRule="exact"/>
        <w:ind w:firstLine="4480" w:firstLineChars="1400"/>
        <w:rPr>
          <w:rFonts w:hint="eastAsia" w:ascii="仿宋" w:eastAsia="仿宋"/>
          <w:spacing w:val="0"/>
          <w:kern w:val="2"/>
          <w:sz w:val="32"/>
          <w:szCs w:val="32"/>
          <w:lang w:bidi="ar-SA"/>
        </w:rPr>
      </w:pPr>
      <w:r>
        <w:rPr>
          <w:rFonts w:hint="eastAsia" w:ascii="仿宋" w:eastAsia="仿宋"/>
          <w:spacing w:val="0"/>
          <w:kern w:val="2"/>
          <w:sz w:val="32"/>
          <w:szCs w:val="32"/>
          <w:lang w:bidi="ar-SA"/>
        </w:rPr>
        <w:t>（公章）</w:t>
      </w:r>
    </w:p>
    <w:p>
      <w:pPr>
        <w:snapToGrid w:val="0"/>
        <w:spacing w:beforeAutospacing="0" w:afterAutospacing="0" w:line="570" w:lineRule="exact"/>
        <w:ind w:firstLine="4252" w:firstLineChars="1329"/>
        <w:rPr>
          <w:rFonts w:hint="eastAsia" w:ascii="仿宋" w:eastAsia="仿宋"/>
          <w:spacing w:val="0"/>
          <w:kern w:val="2"/>
          <w:sz w:val="32"/>
          <w:szCs w:val="32"/>
          <w:lang w:bidi="ar-SA"/>
        </w:rPr>
      </w:pPr>
      <w:r>
        <w:rPr>
          <w:rFonts w:hint="eastAsia" w:ascii="仿宋" w:eastAsia="仿宋"/>
          <w:spacing w:val="0"/>
          <w:kern w:val="2"/>
          <w:sz w:val="32"/>
          <w:szCs w:val="32"/>
          <w:lang w:bidi="ar-SA"/>
        </w:rPr>
        <w:t>××××年××月××日</w:t>
      </w:r>
    </w:p>
    <w:p>
      <w:pPr>
        <w:pStyle w:val="13"/>
        <w:tabs>
          <w:tab w:val="clear" w:pos="4153"/>
          <w:tab w:val="clear" w:pos="8306"/>
        </w:tabs>
        <w:ind w:firstLine="0" w:firstLineChars="0"/>
        <w:rPr>
          <w:rFonts w:hint="eastAsia" w:ascii="仿宋" w:eastAsia="仿宋"/>
          <w:spacing w:val="0"/>
          <w:kern w:val="2"/>
          <w:sz w:val="32"/>
          <w:szCs w:val="32"/>
          <w:lang w:bidi="ar-SA"/>
        </w:rPr>
      </w:pPr>
      <w:r>
        <w:rPr>
          <w:rFonts w:hint="eastAsia" w:ascii="仿宋" w:eastAsia="仿宋"/>
          <w:spacing w:val="0"/>
          <w:kern w:val="2"/>
          <w:sz w:val="32"/>
          <w:szCs w:val="32"/>
          <w:lang w:bidi="ar-SA"/>
        </w:rPr>
        <w:t>备注：本承诺书一式三份，申请人执一份，审批机关留存两份。</w:t>
      </w:r>
    </w:p>
    <w:p>
      <w:pPr>
        <w:pStyle w:val="13"/>
        <w:tabs>
          <w:tab w:val="clear" w:pos="4153"/>
          <w:tab w:val="clear" w:pos="8306"/>
        </w:tabs>
        <w:ind w:firstLine="0" w:firstLineChars="0"/>
        <w:rPr>
          <w:rFonts w:eastAsia="仿宋_GB2312"/>
          <w:sz w:val="32"/>
          <w:szCs w:val="32"/>
        </w:rPr>
      </w:pPr>
    </w:p>
    <w:p>
      <w:pPr>
        <w:pStyle w:val="13"/>
        <w:tabs>
          <w:tab w:val="clear" w:pos="4153"/>
          <w:tab w:val="clear" w:pos="8306"/>
        </w:tabs>
        <w:ind w:firstLine="0" w:firstLineChars="0"/>
        <w:rPr>
          <w:rFonts w:eastAsia="仿宋_GB2312"/>
          <w:sz w:val="32"/>
          <w:szCs w:val="32"/>
        </w:rPr>
      </w:pPr>
    </w:p>
    <w:p>
      <w:pPr>
        <w:pStyle w:val="13"/>
        <w:tabs>
          <w:tab w:val="clear" w:pos="4153"/>
          <w:tab w:val="clear" w:pos="8306"/>
        </w:tabs>
        <w:ind w:firstLine="0" w:firstLineChars="0"/>
        <w:rPr>
          <w:rFonts w:eastAsia="仿宋_GB2312"/>
          <w:sz w:val="32"/>
          <w:szCs w:val="32"/>
        </w:rPr>
      </w:pPr>
    </w:p>
    <w:p>
      <w:pPr>
        <w:pStyle w:val="13"/>
        <w:tabs>
          <w:tab w:val="clear" w:pos="4153"/>
          <w:tab w:val="clear" w:pos="8306"/>
        </w:tabs>
        <w:ind w:firstLine="0" w:firstLineChars="0"/>
        <w:rPr>
          <w:rFonts w:eastAsia="仿宋_GB2312"/>
          <w:sz w:val="32"/>
          <w:szCs w:val="32"/>
        </w:rPr>
      </w:pPr>
    </w:p>
    <w:p>
      <w:pPr>
        <w:pStyle w:val="13"/>
        <w:tabs>
          <w:tab w:val="clear" w:pos="4153"/>
          <w:tab w:val="clear" w:pos="8306"/>
        </w:tabs>
        <w:ind w:firstLine="0" w:firstLineChars="0"/>
        <w:rPr>
          <w:rFonts w:eastAsia="仿宋_GB2312"/>
          <w:sz w:val="32"/>
          <w:szCs w:val="32"/>
        </w:rPr>
      </w:pPr>
    </w:p>
    <w:p>
      <w:pPr>
        <w:pStyle w:val="13"/>
        <w:tabs>
          <w:tab w:val="clear" w:pos="4153"/>
          <w:tab w:val="clear" w:pos="8306"/>
        </w:tabs>
        <w:ind w:firstLine="0" w:firstLineChars="0"/>
        <w:rPr>
          <w:rFonts w:eastAsia="仿宋_GB2312"/>
          <w:sz w:val="32"/>
          <w:szCs w:val="32"/>
        </w:rPr>
      </w:pPr>
    </w:p>
    <w:p>
      <w:pPr>
        <w:spacing w:beforeAutospacing="0" w:afterAutospacing="0" w:line="640" w:lineRule="exact"/>
        <w:ind w:firstLine="280" w:firstLineChars="100"/>
        <w:rPr>
          <w:sz w:val="28"/>
        </w:rPr>
      </w:pPr>
      <w:r>
        <w:rPr>
          <w:sz w:val="28"/>
        </w:rPr>
        <mc:AlternateContent>
          <mc:Choice Requires="wps">
            <w:drawing>
              <wp:anchor distT="0" distB="0" distL="0" distR="0" simplePos="0" relativeHeight="252184576" behindDoc="0" locked="0" layoutInCell="1" allowOverlap="1">
                <wp:simplePos x="0" y="0"/>
                <wp:positionH relativeFrom="column">
                  <wp:posOffset>4940300</wp:posOffset>
                </wp:positionH>
                <wp:positionV relativeFrom="paragraph">
                  <wp:posOffset>952500</wp:posOffset>
                </wp:positionV>
                <wp:extent cx="1041400" cy="495300"/>
                <wp:effectExtent l="6350" t="6350" r="19050" b="12700"/>
                <wp:wrapNone/>
                <wp:docPr id="3" name="_x0000_s1030"/>
                <wp:cNvGraphicFramePr/>
                <a:graphic xmlns:a="http://schemas.openxmlformats.org/drawingml/2006/main">
                  <a:graphicData uri="http://schemas.microsoft.com/office/word/2010/wordprocessingShape">
                    <wps:wsp>
                      <wps:cNvSpPr/>
                      <wps:spPr>
                        <a:xfrm>
                          <a:off x="0" y="0"/>
                          <a:ext cx="1041400" cy="495300"/>
                        </a:xfrm>
                        <a:prstGeom prst="rect">
                          <a:avLst/>
                        </a:prstGeom>
                        <a:solidFill>
                          <a:srgbClr val="FFFFFF"/>
                        </a:solidFill>
                        <a:ln w="12700">
                          <a:solidFill>
                            <a:srgbClr val="FFFFFF"/>
                          </a:solidFill>
                          <a:prstDash val="solid"/>
                        </a:ln>
                      </wps:spPr>
                      <wps:txbx>
                        <w:txbxContent>
                          <w:p/>
                          <w:p/>
                        </w:txbxContent>
                      </wps:txbx>
                      <wps:bodyPr rot="0" vert="horz" wrap="square" lIns="0" tIns="0" rIns="0" bIns="0" anchor="t" anchorCtr="false"/>
                    </wps:wsp>
                  </a:graphicData>
                </a:graphic>
              </wp:anchor>
            </w:drawing>
          </mc:Choice>
          <mc:Fallback>
            <w:pict>
              <v:rect id="_x0000_s1030" o:spid="_x0000_s1026" o:spt="1" style="position:absolute;left:0pt;margin-left:389pt;margin-top:75pt;height:39pt;width:82pt;z-index:252184576;mso-width-relative:page;mso-height-relative:page;" fillcolor="#FFFFFF" filled="t" stroked="t" coordsize="21600,21600" o:gfxdata="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G7Whf2QAAAAsB&#10;AAAPAAAAAAAAAAEAIAAAADgAAABkcnMvZG93bnJldi54bWxQSwECFAAUAAAACACHTuJA2niKB8sB&#10;AADDAwAADgAAAAAAAAABACAAAAA+AQAAZHJzL2Uyb0RvYy54bWxQSwUGAAAAAAYABgBZAQAAewUA&#10;AAAA&#10;">
                <v:fill on="t" focussize="0,0"/>
                <v:stroke weight="1pt" color="#FFFFFF" joinstyle="round"/>
                <v:imagedata o:title=""/>
                <o:lock v:ext="edit" aspectratio="f"/>
                <v:textbox inset="0mm,0mm,0mm,0mm">
                  <w:txbxContent>
                    <w:p/>
                    <w:p/>
                  </w:txbxContent>
                </v:textbox>
              </v:rect>
            </w:pict>
          </mc:Fallback>
        </mc:AlternateContent>
      </w:r>
      <w:r>
        <w:rPr>
          <w:rFonts w:eastAsia="仿宋_GB2312"/>
          <w:sz w:val="28"/>
          <w:szCs w:val="28"/>
        </w:rPr>
        <mc:AlternateContent>
          <mc:Choice Requires="wps">
            <w:drawing>
              <wp:anchor distT="0" distB="0" distL="0" distR="0" simplePos="0" relativeHeight="252184576" behindDoc="0" locked="0" layoutInCell="1" allowOverlap="1">
                <wp:simplePos x="0" y="0"/>
                <wp:positionH relativeFrom="column">
                  <wp:posOffset>0</wp:posOffset>
                </wp:positionH>
                <wp:positionV relativeFrom="paragraph">
                  <wp:posOffset>0</wp:posOffset>
                </wp:positionV>
                <wp:extent cx="5511800" cy="12700"/>
                <wp:effectExtent l="0" t="6350" r="12700" b="9525"/>
                <wp:wrapNone/>
                <wp:docPr id="4" name="_x0000_s1029"/>
                <wp:cNvGraphicFramePr/>
                <a:graphic xmlns:a="http://schemas.openxmlformats.org/drawingml/2006/main">
                  <a:graphicData uri="http://schemas.microsoft.com/office/word/2010/wordprocessingShape">
                    <wps:wsp>
                      <wps:cNvCnPr/>
                      <wps:spPr>
                        <a:xfrm>
                          <a:off x="38100" y="63500"/>
                          <a:ext cx="5511800" cy="12700"/>
                        </a:xfrm>
                        <a:prstGeom prst="line">
                          <a:avLst/>
                        </a:prstGeom>
                        <a:ln w="12700">
                          <a:solidFill>
                            <a:prstClr val="white"/>
                          </a:solidFill>
                          <a:prstDash val="solid"/>
                        </a:ln>
                      </wps:spPr>
                      <wps:bodyPr rot="0" vert="horz" wrap="square" lIns="0" tIns="0" rIns="0" bIns="0" anchor="t" anchorCtr="false"/>
                    </wps:wsp>
                  </a:graphicData>
                </a:graphic>
              </wp:anchor>
            </w:drawing>
          </mc:Choice>
          <mc:Fallback>
            <w:pict>
              <v:line id="_x0000_s1029" o:spid="_x0000_s1026" o:spt="20" style="position:absolute;left:0pt;margin-left:0pt;margin-top:0pt;height:1pt;width:434pt;z-index:252184576;mso-width-relative:page;mso-height-relative:page;" filled="f" stroked="t" coordsize="21600,21600" o:gfxdata="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V3BP50gAAAAMBAAAPAAAAAAAA&#10;AAEAIAAAADgAAABkcnMvZG93bnJldi54bWxQSwECFAAUAAAACACHTuJA74Ct5MkBAACKAwAADgAA&#10;AAAAAAABACAAAAA3AQAAZHJzL2Uyb0RvYy54bWxQSwUGAAAAAAYABgBZAQAAcgUAAAAA&#10;">
                <v:fill on="f" focussize="0,0"/>
                <v:stroke weight="1pt" color="#FFFFFF" joinstyle="round"/>
                <v:imagedata o:title=""/>
                <o:lock v:ext="edit" aspectratio="f"/>
              </v:line>
            </w:pict>
          </mc:Fallback>
        </mc:AlternateContent>
      </w:r>
      <w:r>
        <w:rPr>
          <w:sz w:val="28"/>
          <w:szCs w:val="28"/>
        </w:rPr>
        <mc:AlternateContent>
          <mc:Choice Requires="wps">
            <w:drawing>
              <wp:anchor distT="0" distB="0" distL="0" distR="0" simplePos="0" relativeHeight="252184576" behindDoc="0" locked="0" layoutInCell="1" allowOverlap="1">
                <wp:simplePos x="0" y="0"/>
                <wp:positionH relativeFrom="column">
                  <wp:posOffset>0</wp:posOffset>
                </wp:positionH>
                <wp:positionV relativeFrom="paragraph">
                  <wp:posOffset>0</wp:posOffset>
                </wp:positionV>
                <wp:extent cx="5524500" cy="12700"/>
                <wp:effectExtent l="0" t="6350" r="0" b="9525"/>
                <wp:wrapNone/>
                <wp:docPr id="5" name="_x0000_s1028"/>
                <wp:cNvGraphicFramePr/>
                <a:graphic xmlns:a="http://schemas.openxmlformats.org/drawingml/2006/main">
                  <a:graphicData uri="http://schemas.microsoft.com/office/word/2010/wordprocessingShape">
                    <wps:wsp>
                      <wps:cNvCnPr/>
                      <wps:spPr>
                        <a:xfrm>
                          <a:off x="50800" y="457200"/>
                          <a:ext cx="5524500" cy="12700"/>
                        </a:xfrm>
                        <a:prstGeom prst="line">
                          <a:avLst/>
                        </a:prstGeom>
                        <a:ln w="12700">
                          <a:solidFill>
                            <a:prstClr val="white"/>
                          </a:solidFill>
                          <a:prstDash val="solid"/>
                        </a:ln>
                      </wps:spPr>
                      <wps:bodyPr rot="0" vert="horz" wrap="square" lIns="0" tIns="0" rIns="0" bIns="0" anchor="t" anchorCtr="false"/>
                    </wps:wsp>
                  </a:graphicData>
                </a:graphic>
              </wp:anchor>
            </w:drawing>
          </mc:Choice>
          <mc:Fallback>
            <w:pict>
              <v:line id="_x0000_s1028" o:spid="_x0000_s1026" o:spt="20" style="position:absolute;left:0pt;margin-left:0pt;margin-top:0pt;height:1pt;width:435pt;z-index:252184576;mso-width-relative:page;mso-height-relative:page;" filled="f" stroked="t" coordsize="21600,21600" o:gfxdata="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L3JDrSAAAAAwEAAA8AAAAAAAAA&#10;AQAgAAAAOAAAAGRycy9kb3ducmV2LnhtbFBLAQIUABQAAAAIAIdO4kCPm10eyAEAAIsDAAAOAAAA&#10;AAAAAAEAIAAAADcBAABkcnMvZTJvRG9jLnhtbFBLBQYAAAAABgAGAFkBAABxBQAAAAA=&#10;">
                <v:fill on="f" focussize="0,0"/>
                <v:stroke weight="1pt" color="#FFFFFF" joinstyle="round"/>
                <v:imagedata o:title=""/>
                <o:lock v:ext="edit" aspectratio="f"/>
              </v:line>
            </w:pict>
          </mc:Fallback>
        </mc:AlternateContent>
      </w:r>
      <w:r>
        <w:rPr>
          <w:rFonts w:eastAsia="仿宋_GB2312"/>
          <w:sz w:val="28"/>
          <w:szCs w:val="28"/>
        </w:rPr>
        <w:t xml:space="preserve">攀枝花市发展和改革委员会办公室    </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 xml:space="preserve">   2022年12月</w:t>
      </w:r>
      <w:r>
        <w:rPr>
          <w:rFonts w:hint="eastAsia" w:eastAsia="仿宋_GB2312"/>
          <w:sz w:val="28"/>
          <w:szCs w:val="28"/>
          <w:lang w:val="en-US" w:eastAsia="zh-CN"/>
        </w:rPr>
        <w:t>19</w:t>
      </w:r>
      <w:r>
        <w:rPr>
          <w:rFonts w:eastAsia="仿宋_GB2312"/>
          <w:sz w:val="28"/>
          <w:szCs w:val="28"/>
        </w:rPr>
        <w:t>日印发</w:t>
      </w:r>
    </w:p>
    <w:sectPr>
      <w:headerReference r:id="rId5" w:type="default"/>
      <w:footerReference r:id="rId6" w:type="default"/>
      <w:pgSz w:w="11906" w:h="16838"/>
      <w:pgMar w:top="2098" w:right="1474" w:bottom="1984" w:left="1587" w:header="851" w:footer="992" w:gutter="0"/>
      <w:pgNumType w:fmt="decimal"/>
      <w:cols w:space="720" w:num="1"/>
      <w:docGrid w:type="lines" w:linePitch="31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rPr>
        <w:sz w:val="18"/>
      </w:rPr>
    </w:pPr>
    <w:r>
      <w:rPr>
        <w:sz w:val="18"/>
      </w:rPr>
      <mc:AlternateContent>
        <mc:Choice Requires="wps">
          <w:drawing>
            <wp:anchor distT="0" distB="0" distL="0" distR="0" simplePos="0" relativeHeight="252184576" behindDoc="0" locked="0" layoutInCell="1" allowOverlap="1">
              <wp:simplePos x="0" y="0"/>
              <wp:positionH relativeFrom="margin">
                <wp:align>outside</wp:align>
              </wp:positionH>
              <wp:positionV relativeFrom="paragraph">
                <wp:posOffset>0</wp:posOffset>
              </wp:positionV>
              <wp:extent cx="368300" cy="266700"/>
              <wp:effectExtent l="0" t="0" r="0" b="0"/>
              <wp:wrapNone/>
              <wp:docPr id="6" name="_x0000_s2049"/>
              <wp:cNvGraphicFramePr/>
              <a:graphic xmlns:a="http://schemas.openxmlformats.org/drawingml/2006/main">
                <a:graphicData uri="http://schemas.microsoft.com/office/word/2010/wordprocessingShape">
                  <wps:wsp>
                    <wps:cNvSpPr/>
                    <wps:spPr>
                      <a:xfrm>
                        <a:off x="0" y="0"/>
                        <a:ext cx="368300" cy="266700"/>
                      </a:xfrm>
                      <a:prstGeom prst="rect">
                        <a:avLst/>
                      </a:prstGeom>
                    </wps:spPr>
                    <wps:txbx>
                      <w:txbxContent>
                        <w:p>
                          <w:pPr>
                            <w:pStyle w:val="13"/>
                            <w:tabs>
                              <w:tab w:val="clear" w:pos="4153"/>
                              <w:tab w:val="clear" w:pos="8306"/>
                            </w:tabs>
                            <w:ind w:firstLine="0" w:firstLineChars="0"/>
                            <w:rPr>
                              <w:rFonts w:hint="eastAsia" w:ascii="宋体" w:eastAsia="宋体"/>
                              <w:sz w:val="28"/>
                              <w:szCs w:val="28"/>
                              <w:lang w:bidi="ar-SA"/>
                            </w:rPr>
                          </w:pPr>
                          <w:r>
                            <w:rPr>
                              <w:rFonts w:hint="eastAsia" w:ascii="宋体" w:eastAsia="宋体"/>
                              <w:sz w:val="28"/>
                              <w:szCs w:val="28"/>
                              <w:lang w:bidi="ar-SA"/>
                            </w:rPr>
                            <w:fldChar w:fldCharType="begin"/>
                          </w:r>
                          <w:r>
                            <w:rPr>
                              <w:rFonts w:hint="eastAsia" w:ascii="宋体" w:eastAsia="宋体"/>
                              <w:sz w:val="28"/>
                              <w:szCs w:val="28"/>
                              <w:lang w:bidi="ar-SA"/>
                            </w:rPr>
                            <w:instrText xml:space="preserve"> PAGE  \* MERGEFORMAT </w:instrText>
                          </w:r>
                          <w:r>
                            <w:rPr>
                              <w:rFonts w:hint="eastAsia" w:ascii="宋体" w:eastAsia="宋体"/>
                              <w:sz w:val="28"/>
                              <w:szCs w:val="28"/>
                              <w:lang w:bidi="ar-SA"/>
                            </w:rPr>
                            <w:fldChar w:fldCharType="separate"/>
                          </w:r>
                          <w:r>
                            <w:rPr>
                              <w:rFonts w:hint="eastAsia" w:ascii="宋体" w:eastAsia="宋体"/>
                              <w:sz w:val="28"/>
                              <w:szCs w:val="28"/>
                              <w:lang w:bidi="ar-SA"/>
                            </w:rPr>
                            <w:t>- 1 -</w:t>
                          </w:r>
                          <w:r>
                            <w:rPr>
                              <w:rFonts w:hint="eastAsia" w:ascii="宋体" w:eastAsia="宋体"/>
                              <w:sz w:val="28"/>
                              <w:szCs w:val="28"/>
                              <w:lang w:bidi="ar-SA"/>
                            </w:rPr>
                            <w:fldChar w:fldCharType="end"/>
                          </w:r>
                        </w:p>
                        <w:p/>
                      </w:txbxContent>
                    </wps:txbx>
                    <wps:bodyPr rot="0" vert="horz" wrap="square" lIns="0" tIns="0" rIns="0" bIns="0" anchor="t" anchorCtr="false"/>
                  </wps:wsp>
                </a:graphicData>
              </a:graphic>
            </wp:anchor>
          </w:drawing>
        </mc:Choice>
        <mc:Fallback>
          <w:pict>
            <v:rect id="_x0000_s2049" o:spid="_x0000_s1026" o:spt="1" style="position:absolute;left:0pt;margin-top:0pt;height:21pt;width:29pt;mso-position-horizontal:outside;mso-position-horizontal-relative:margin;z-index:252184576;mso-width-relative:page;mso-height-relative:page;" filled="f" stroked="f" coordsize="21600,21600" o:gfxdata="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B9MPwPV&#10;AAAAAwEAAA8AAAAAAAAAAQAgAAAAOAAAAGRycy9kb3ducmV2LnhtbFBLAQIUABQAAAAIAIdO4kC1&#10;Y90ImwEAACoDAAAOAAAAAAAAAAEAIAAAADoBAABkcnMvZTJvRG9jLnhtbFBLBQYAAAAABgAGAFkB&#10;AABHBQAAAAA=&#10;">
              <v:fill on="f" focussize="0,0"/>
              <v:stroke on="f"/>
              <v:imagedata o:title=""/>
              <o:lock v:ext="edit" aspectratio="f"/>
              <v:textbox inset="0mm,0mm,0mm,0mm">
                <w:txbxContent>
                  <w:p>
                    <w:pPr>
                      <w:pStyle w:val="13"/>
                      <w:tabs>
                        <w:tab w:val="clear" w:pos="4153"/>
                        <w:tab w:val="clear" w:pos="8306"/>
                      </w:tabs>
                      <w:ind w:firstLine="0" w:firstLineChars="0"/>
                      <w:rPr>
                        <w:rFonts w:hint="eastAsia" w:ascii="宋体" w:eastAsia="宋体"/>
                        <w:sz w:val="28"/>
                        <w:szCs w:val="28"/>
                        <w:lang w:bidi="ar-SA"/>
                      </w:rPr>
                    </w:pPr>
                    <w:r>
                      <w:rPr>
                        <w:rFonts w:hint="eastAsia" w:ascii="宋体" w:eastAsia="宋体"/>
                        <w:sz w:val="28"/>
                        <w:szCs w:val="28"/>
                        <w:lang w:bidi="ar-SA"/>
                      </w:rPr>
                      <w:fldChar w:fldCharType="begin"/>
                    </w:r>
                    <w:r>
                      <w:rPr>
                        <w:rFonts w:hint="eastAsia" w:ascii="宋体" w:eastAsia="宋体"/>
                        <w:sz w:val="28"/>
                        <w:szCs w:val="28"/>
                        <w:lang w:bidi="ar-SA"/>
                      </w:rPr>
                      <w:instrText xml:space="preserve"> PAGE  \* MERGEFORMAT </w:instrText>
                    </w:r>
                    <w:r>
                      <w:rPr>
                        <w:rFonts w:hint="eastAsia" w:ascii="宋体" w:eastAsia="宋体"/>
                        <w:sz w:val="28"/>
                        <w:szCs w:val="28"/>
                        <w:lang w:bidi="ar-SA"/>
                      </w:rPr>
                      <w:fldChar w:fldCharType="separate"/>
                    </w:r>
                    <w:r>
                      <w:rPr>
                        <w:rFonts w:hint="eastAsia" w:ascii="宋体" w:eastAsia="宋体"/>
                        <w:sz w:val="28"/>
                        <w:szCs w:val="28"/>
                        <w:lang w:bidi="ar-SA"/>
                      </w:rPr>
                      <w:t>- 1 -</w:t>
                    </w:r>
                    <w:r>
                      <w:rPr>
                        <w:rFonts w:hint="eastAsia" w:ascii="宋体" w:eastAsia="宋体"/>
                        <w:sz w:val="28"/>
                        <w:szCs w:val="28"/>
                        <w:lang w:bidi="ar-SA"/>
                      </w:rPr>
                      <w:fldChar w:fldCharType="end"/>
                    </w:r>
                  </w:p>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000000" w:sz="0" w:space="0"/>
        <w:left w:val="none" w:color="000000" w:sz="0" w:space="0"/>
        <w:bottom w:val="none" w:color="000000" w:sz="0" w:space="0"/>
        <w:right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420"/>
  <w:displayHorizontalDrawingGridEvery w:val="0"/>
  <w:displayVerticalDrawingGridEvery w:val="1"/>
  <w:footnotePr>
    <w:footnote w:id="0"/>
    <w:footnote w:id="1"/>
  </w:footnotePr>
  <w:endnotePr>
    <w:endnote w:id="0"/>
    <w:endnote w:id="1"/>
  </w:endnotePr>
  <w:compat>
    <w:balanceSingleByteDoubleByteWidth/>
    <w:doNotLeaveBackslashAlone/>
    <w:ulTrailSpace/>
    <w:doNotExpandShiftReturn/>
    <w:adjustLineHeightInTable/>
    <w:useFELayout/>
    <w:compatSetting w:name="compatibilityMode" w:uri="http://schemas.microsoft.com/office/word" w:val="11"/>
  </w:compat>
  <w:rsids>
    <w:rsidRoot w:val="00000000"/>
    <w:rsid w:val="8CED1E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ind w:firstLine="200" w:firstLineChars="200"/>
    </w:pPr>
    <w:rPr>
      <w:rFonts w:ascii="Times New Roman" w:hAnsi="Times New Roman" w:eastAsia="宋体"/>
      <w:sz w:val="20"/>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qFormat/>
    <w:uiPriority w:val="0"/>
    <w:pPr>
      <w:widowControl w:val="0"/>
      <w:spacing w:before="340" w:beforeAutospacing="0" w:after="330" w:afterAutospacing="0" w:line="578" w:lineRule="auto"/>
      <w:outlineLvl w:val="0"/>
    </w:pPr>
    <w:rPr>
      <w:b/>
      <w:kern w:val="44"/>
      <w:sz w:val="44"/>
    </w:rPr>
  </w:style>
  <w:style w:type="paragraph" w:customStyle="1" w:styleId="5">
    <w:name w:val="标题 21"/>
    <w:basedOn w:val="1"/>
    <w:qFormat/>
    <w:uiPriority w:val="0"/>
    <w:pPr>
      <w:widowControl w:val="0"/>
      <w:spacing w:before="260" w:beforeAutospacing="0" w:after="260" w:afterAutospacing="0" w:line="415" w:lineRule="auto"/>
      <w:outlineLvl w:val="1"/>
    </w:pPr>
    <w:rPr>
      <w:rFonts w:ascii="Arial" w:hAnsi="Arial" w:eastAsia="黑体"/>
      <w:b/>
      <w:sz w:val="32"/>
    </w:rPr>
  </w:style>
  <w:style w:type="paragraph" w:customStyle="1" w:styleId="6">
    <w:name w:val="标题 31"/>
    <w:basedOn w:val="1"/>
    <w:qFormat/>
    <w:uiPriority w:val="0"/>
    <w:pPr>
      <w:widowControl w:val="0"/>
      <w:spacing w:before="260" w:beforeAutospacing="0" w:after="260" w:afterAutospacing="0" w:line="415" w:lineRule="auto"/>
      <w:outlineLvl w:val="2"/>
    </w:pPr>
    <w:rPr>
      <w:b/>
      <w:sz w:val="32"/>
    </w:rPr>
  </w:style>
  <w:style w:type="character" w:customStyle="1" w:styleId="7">
    <w:name w:val="默认段落字体1"/>
    <w:link w:val="1"/>
    <w:qFormat/>
    <w:uiPriority w:val="0"/>
  </w:style>
  <w:style w:type="table" w:customStyle="1" w:styleId="8">
    <w:name w:val="普通表格1"/>
    <w:semiHidden/>
    <w:qFormat/>
    <w:uiPriority w:val="0"/>
  </w:style>
  <w:style w:type="character" w:customStyle="1" w:styleId="9">
    <w:name w:val="页码1"/>
    <w:link w:val="1"/>
    <w:qFormat/>
    <w:uiPriority w:val="0"/>
  </w:style>
  <w:style w:type="paragraph" w:customStyle="1" w:styleId="10">
    <w:name w:val="正文文本1"/>
    <w:basedOn w:val="1"/>
    <w:qFormat/>
    <w:uiPriority w:val="0"/>
    <w:pPr>
      <w:spacing w:beforeAutospacing="0" w:afterAutospacing="0" w:line="360" w:lineRule="auto"/>
      <w:ind w:firstLine="200" w:firstLineChars="200"/>
    </w:pPr>
    <w:rPr>
      <w:rFonts w:ascii="Times New Roman" w:hAnsi="Times New Roman"/>
      <w:sz w:val="28"/>
      <w:szCs w:val="28"/>
    </w:rPr>
  </w:style>
  <w:style w:type="paragraph" w:customStyle="1" w:styleId="11">
    <w:name w:val="目录 21"/>
    <w:basedOn w:val="1"/>
    <w:qFormat/>
    <w:uiPriority w:val="0"/>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uppressAutoHyphens w:val="0"/>
      <w:kinsoku/>
      <w:overflowPunct/>
      <w:topLinePunct w:val="0"/>
      <w:bidi w:val="0"/>
      <w:spacing w:before="100" w:beforeAutospacing="1" w:after="100" w:afterAutospacing="1" w:line="240" w:lineRule="auto"/>
      <w:ind w:left="200" w:leftChars="200" w:right="0"/>
      <w:jc w:val="both"/>
      <w:outlineLvl w:val="9"/>
    </w:pPr>
    <w:rPr>
      <w:rFonts w:ascii="Calibri" w:hAnsi="Calibri" w:eastAsia="方正小标宋简体"/>
      <w:snapToGrid/>
      <w:color w:val="000000"/>
      <w:spacing w:val="0"/>
      <w:w w:val="100"/>
      <w:kern w:val="2"/>
      <w:sz w:val="21"/>
      <w:szCs w:val="21"/>
      <w:u w:val="none"/>
      <w:vertAlign w:val="baseline"/>
      <w:lang w:val="en-US" w:eastAsia="zh-CN" w:bidi="ar-SA"/>
    </w:rPr>
  </w:style>
  <w:style w:type="paragraph" w:customStyle="1" w:styleId="12">
    <w:name w:val="页眉1"/>
    <w:basedOn w:val="1"/>
    <w:qFormat/>
    <w:uiPriority w:val="0"/>
    <w:pPr>
      <w:widowControl w:val="0"/>
      <w:pBdr>
        <w:bottom w:val="single" w:color="000000" w:sz="6" w:space="1"/>
      </w:pBdr>
      <w:tabs>
        <w:tab w:val="center" w:pos="4153"/>
        <w:tab w:val="right" w:pos="8306"/>
      </w:tabs>
      <w:snapToGrid w:val="0"/>
      <w:ind w:firstLine="200" w:firstLineChars="200"/>
      <w:jc w:val="center"/>
    </w:pPr>
    <w:rPr>
      <w:rFonts w:ascii="Times New Roman" w:hAnsi="Times New Roman" w:eastAsia="宋体"/>
      <w:sz w:val="18"/>
      <w:szCs w:val="18"/>
      <w:lang w:bidi="ar-SA"/>
    </w:rPr>
  </w:style>
  <w:style w:type="paragraph" w:customStyle="1" w:styleId="13">
    <w:name w:val="页脚1"/>
    <w:basedOn w:val="1"/>
    <w:qFormat/>
    <w:uiPriority w:val="0"/>
    <w:pPr>
      <w:widowControl w:val="0"/>
      <w:tabs>
        <w:tab w:val="center" w:pos="4153"/>
        <w:tab w:val="right" w:pos="8306"/>
      </w:tabs>
      <w:snapToGrid w:val="0"/>
      <w:ind w:firstLine="200" w:firstLineChars="200"/>
    </w:pPr>
    <w:rPr>
      <w:rFonts w:ascii="Times New Roman" w:hAnsi="Times New Roman" w:eastAsia="宋体"/>
      <w:sz w:val="18"/>
      <w:szCs w:val="18"/>
      <w:lang w:bidi="ar-SA"/>
    </w:rPr>
  </w:style>
  <w:style w:type="paragraph" w:customStyle="1" w:styleId="14">
    <w:name w:val="修订"/>
    <w:qFormat/>
    <w:uiPriority w:val="0"/>
    <w:rPr>
      <w:rFonts w:ascii="Times New Roman" w:hAnsi="Times New Roman" w:eastAsia="宋体"/>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2022-12-27T08:41:25Z</dcterms:created>
  <dc:creator>user</dc:creator>
  <cp:lastModifiedBy>user</cp:lastModifiedBy>
  <dcterms:modified xsi:type="dcterms:W3CDTF">2022-12-27T08:46:02Z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