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78441"/>
      <w:bookmarkStart w:id="1" w:name="_Toc15396597"/>
      <w:bookmarkStart w:id="2" w:name="_Toc15377193"/>
      <w:bookmarkStart w:id="3" w:name="_Toc15377425"/>
      <w:bookmarkStart w:id="4" w:name="_Toc15396475"/>
      <w:bookmarkStart w:id="5" w:name="_Toc15306267"/>
      <w:bookmarkStart w:id="131" w:name="_GoBack"/>
      <w:bookmarkEnd w:id="131"/>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2091"/>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1428"/>
      <w:bookmarkStart w:id="8" w:name="_Toc15378442"/>
      <w:bookmarkStart w:id="9" w:name="_Toc15377426"/>
      <w:bookmarkStart w:id="10" w:name="_Toc15396476"/>
      <w:bookmarkStart w:id="11" w:name="_Toc15377194"/>
      <w:bookmarkStart w:id="12" w:name="_Toc15396598"/>
      <w:bookmarkStart w:id="13" w:name="_Toc15306268"/>
      <w:r>
        <w:rPr>
          <w:rFonts w:hint="eastAsia" w:ascii="方正小标宋简体" w:hAnsi="方正小标宋简体" w:eastAsia="方正小标宋简体" w:cs="方正小标宋简体"/>
          <w:sz w:val="72"/>
          <w:szCs w:val="72"/>
        </w:rPr>
        <w:t>攀枝花市发展和改革</w:t>
      </w:r>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8094"/>
      <w:r>
        <w:rPr>
          <w:rFonts w:hint="eastAsia" w:ascii="方正小标宋简体" w:hAnsi="方正小标宋简体" w:eastAsia="方正小标宋简体" w:cs="方正小标宋简体"/>
          <w:sz w:val="72"/>
          <w:szCs w:val="72"/>
        </w:rPr>
        <w:t>委员会部门决算</w:t>
      </w:r>
      <w:bookmarkEnd w:id="8"/>
      <w:bookmarkEnd w:id="9"/>
      <w:bookmarkEnd w:id="10"/>
      <w:bookmarkEnd w:id="11"/>
      <w:bookmarkEnd w:id="12"/>
      <w:bookmarkEnd w:id="13"/>
      <w:bookmarkEnd w:id="14"/>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2"/>
        <w:spacing w:before="93"/>
      </w:pPr>
    </w:p>
    <w:p>
      <w:pPr>
        <w:pStyle w:val="13"/>
      </w:pPr>
      <w:r>
        <w:rPr>
          <w:rFonts w:hint="eastAsia"/>
        </w:rPr>
        <w:t>公开时间：2023年9月</w:t>
      </w:r>
      <w:r>
        <w:t>1</w:t>
      </w:r>
      <w:r>
        <w:rPr>
          <w:rFonts w:hint="eastAsia"/>
        </w:rPr>
        <w:t>5日</w:t>
      </w:r>
    </w:p>
    <w:p/>
    <w:sdt>
      <w:sdtPr>
        <w:rPr>
          <w:rFonts w:ascii="宋体" w:hAnsi="宋体"/>
        </w:rPr>
        <w:id w:val="147476943"/>
        <w:docPartObj>
          <w:docPartGallery w:val="Table of Contents"/>
          <w:docPartUnique/>
        </w:docPartObj>
      </w:sdtPr>
      <w:sdtEndPr>
        <w:rPr>
          <w:rFonts w:ascii="Times New Roman" w:hAnsi="Times New Roman"/>
          <w:b/>
        </w:rPr>
      </w:sdtEndPr>
      <w:sdtContent>
        <w:p>
          <w:pPr>
            <w:jc w:val="center"/>
            <w:rPr>
              <w:b/>
            </w:rPr>
          </w:pPr>
          <w:r>
            <w:fldChar w:fldCharType="begin"/>
          </w:r>
          <w:r>
            <w:instrText xml:space="preserve">TOC \o "1-2" \h \u </w:instrText>
          </w:r>
          <w:r>
            <w:fldChar w:fldCharType="separate"/>
          </w:r>
        </w:p>
        <w:p>
          <w:pPr>
            <w:pStyle w:val="54"/>
            <w:tabs>
              <w:tab w:val="right" w:leader="dot" w:pos="8306"/>
            </w:tabs>
            <w:rPr>
              <w:b/>
              <w:sz w:val="24"/>
              <w:szCs w:val="24"/>
            </w:rPr>
          </w:pPr>
          <w:r>
            <w:fldChar w:fldCharType="begin"/>
          </w:r>
          <w:r>
            <w:instrText xml:space="preserve"> HYPERLINK \l "_Toc28037" </w:instrText>
          </w:r>
          <w:r>
            <w:fldChar w:fldCharType="separate"/>
          </w:r>
          <w:r>
            <w:rPr>
              <w:rFonts w:hint="eastAsia" w:ascii="黑体" w:hAnsi="黑体" w:eastAsia="黑体"/>
              <w:b/>
              <w:sz w:val="24"/>
              <w:szCs w:val="24"/>
            </w:rPr>
            <w:t>第一部分部门概况</w:t>
          </w:r>
          <w:r>
            <w:rPr>
              <w:b/>
              <w:sz w:val="24"/>
              <w:szCs w:val="24"/>
            </w:rPr>
            <w:tab/>
          </w:r>
          <w:r>
            <w:rPr>
              <w:rFonts w:hint="eastAsia"/>
              <w:b/>
              <w:sz w:val="24"/>
              <w:szCs w:val="24"/>
            </w:rPr>
            <w:t>3</w:t>
          </w:r>
          <w:r>
            <w:rPr>
              <w:rFonts w:hint="eastAsia"/>
              <w:b/>
              <w:sz w:val="24"/>
              <w:szCs w:val="24"/>
            </w:rPr>
            <w:fldChar w:fldCharType="end"/>
          </w:r>
        </w:p>
        <w:p>
          <w:pPr>
            <w:pStyle w:val="55"/>
            <w:tabs>
              <w:tab w:val="right" w:leader="dot" w:pos="8306"/>
            </w:tabs>
            <w:ind w:left="420"/>
            <w:rPr>
              <w:sz w:val="24"/>
              <w:szCs w:val="24"/>
            </w:rPr>
          </w:pPr>
          <w:r>
            <w:fldChar w:fldCharType="begin"/>
          </w:r>
          <w:r>
            <w:instrText xml:space="preserve"> HYPERLINK \l "_Toc13779" </w:instrText>
          </w:r>
          <w:r>
            <w:fldChar w:fldCharType="separate"/>
          </w:r>
          <w:r>
            <w:rPr>
              <w:rFonts w:hint="eastAsia" w:ascii="黑体" w:eastAsia="黑体"/>
              <w:sz w:val="24"/>
              <w:szCs w:val="44"/>
            </w:rPr>
            <w:t>一、部门职责</w:t>
          </w:r>
          <w:r>
            <w:rPr>
              <w:sz w:val="24"/>
              <w:szCs w:val="24"/>
            </w:rPr>
            <w:tab/>
          </w:r>
          <w:r>
            <w:rPr>
              <w:rFonts w:hint="eastAsia"/>
              <w:sz w:val="24"/>
              <w:szCs w:val="24"/>
            </w:rPr>
            <w:t>3</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"_Toc1882" </w:instrText>
          </w:r>
          <w:r>
            <w:fldChar w:fldCharType="separate"/>
          </w:r>
          <w:r>
            <w:rPr>
              <w:rFonts w:hint="eastAsia" w:ascii="黑体" w:hAnsi="黑体" w:eastAsia="黑体"/>
              <w:sz w:val="24"/>
              <w:szCs w:val="24"/>
            </w:rPr>
            <w:t>二、机构设置</w:t>
          </w:r>
          <w:r>
            <w:rPr>
              <w:sz w:val="24"/>
              <w:szCs w:val="24"/>
            </w:rPr>
            <w:tab/>
          </w:r>
          <w:r>
            <w:rPr>
              <w:rFonts w:hint="eastAsia"/>
              <w:sz w:val="24"/>
              <w:szCs w:val="24"/>
            </w:rPr>
            <w:t>4</w:t>
          </w:r>
          <w:r>
            <w:rPr>
              <w:rFonts w:hint="eastAsia"/>
              <w:sz w:val="24"/>
              <w:szCs w:val="24"/>
            </w:rPr>
            <w:fldChar w:fldCharType="end"/>
          </w:r>
        </w:p>
        <w:p>
          <w:pPr>
            <w:pStyle w:val="54"/>
            <w:tabs>
              <w:tab w:val="right" w:leader="dot" w:pos="8306"/>
            </w:tabs>
            <w:rPr>
              <w:b/>
              <w:sz w:val="24"/>
              <w:szCs w:val="24"/>
            </w:rPr>
          </w:pPr>
          <w:r>
            <w:fldChar w:fldCharType="begin"/>
          </w:r>
          <w:r>
            <w:instrText xml:space="preserve"> HYPERLINK \l "_Toc10719" </w:instrText>
          </w:r>
          <w:r>
            <w:fldChar w:fldCharType="separate"/>
          </w:r>
          <w:r>
            <w:rPr>
              <w:rFonts w:hint="eastAsia" w:ascii="黑体" w:hAnsi="黑体" w:eastAsia="黑体"/>
              <w:b/>
              <w:sz w:val="24"/>
              <w:szCs w:val="24"/>
            </w:rPr>
            <w:t>第二部分 2022年度</w:t>
          </w:r>
          <w:r>
            <w:rPr>
              <w:rFonts w:hint="eastAsia" w:ascii="黑体" w:hAnsi="黑体" w:eastAsia="黑体"/>
              <w:b/>
              <w:bCs/>
              <w:sz w:val="24"/>
              <w:szCs w:val="24"/>
            </w:rPr>
            <w:t>部门决算情况说明</w:t>
          </w:r>
          <w:r>
            <w:rPr>
              <w:b/>
              <w:sz w:val="24"/>
              <w:szCs w:val="24"/>
            </w:rPr>
            <w:tab/>
          </w:r>
          <w:r>
            <w:rPr>
              <w:rFonts w:hint="eastAsia"/>
              <w:b/>
              <w:sz w:val="24"/>
              <w:szCs w:val="24"/>
            </w:rPr>
            <w:t>5</w:t>
          </w:r>
          <w:r>
            <w:rPr>
              <w:rFonts w:hint="eastAsia"/>
              <w:b/>
              <w:sz w:val="24"/>
              <w:szCs w:val="24"/>
            </w:rPr>
            <w:fldChar w:fldCharType="end"/>
          </w:r>
        </w:p>
        <w:p>
          <w:pPr>
            <w:pStyle w:val="55"/>
            <w:tabs>
              <w:tab w:val="right" w:leader="dot" w:pos="8306"/>
            </w:tabs>
            <w:ind w:left="420"/>
            <w:rPr>
              <w:sz w:val="24"/>
              <w:szCs w:val="24"/>
            </w:rPr>
          </w:pPr>
          <w:r>
            <w:fldChar w:fldCharType="begin"/>
          </w:r>
          <w:r>
            <w:instrText xml:space="preserve"> HYPERLINK \l "_Toc31161" </w:instrText>
          </w:r>
          <w:r>
            <w:fldChar w:fldCharType="separate"/>
          </w:r>
          <w:r>
            <w:rPr>
              <w:rFonts w:ascii="黑体" w:hAnsi="黑体" w:eastAsia="黑体"/>
              <w:sz w:val="24"/>
              <w:szCs w:val="24"/>
            </w:rPr>
            <w:t>一、</w:t>
          </w:r>
          <w:r>
            <w:rPr>
              <w:rFonts w:hint="eastAsia" w:ascii="黑体" w:hAnsi="黑体" w:eastAsia="黑体"/>
              <w:sz w:val="24"/>
              <w:szCs w:val="44"/>
            </w:rPr>
            <w:t>收</w:t>
          </w:r>
          <w:r>
            <w:rPr>
              <w:rFonts w:hint="eastAsia" w:ascii="黑体" w:hAnsi="黑体" w:eastAsia="黑体"/>
              <w:sz w:val="24"/>
              <w:szCs w:val="24"/>
            </w:rPr>
            <w:t>入支出决算总体情况说明</w:t>
          </w:r>
          <w:r>
            <w:rPr>
              <w:sz w:val="24"/>
              <w:szCs w:val="24"/>
            </w:rPr>
            <w:tab/>
          </w:r>
          <w:r>
            <w:rPr>
              <w:rFonts w:hint="eastAsia"/>
              <w:sz w:val="24"/>
              <w:szCs w:val="24"/>
            </w:rPr>
            <w:t>5</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"_Toc11740" </w:instrText>
          </w:r>
          <w:r>
            <w:fldChar w:fldCharType="separate"/>
          </w:r>
          <w:r>
            <w:rPr>
              <w:rFonts w:ascii="黑体" w:hAnsi="黑体" w:eastAsia="黑体"/>
              <w:sz w:val="24"/>
              <w:szCs w:val="24"/>
            </w:rPr>
            <w:t>二、</w:t>
          </w:r>
          <w:r>
            <w:rPr>
              <w:rFonts w:hint="eastAsia" w:ascii="黑体" w:hAnsi="黑体" w:eastAsia="黑体"/>
              <w:sz w:val="24"/>
              <w:szCs w:val="44"/>
            </w:rPr>
            <w:t>收</w:t>
          </w:r>
          <w:r>
            <w:rPr>
              <w:rFonts w:hint="eastAsia" w:ascii="黑体" w:hAnsi="黑体" w:eastAsia="黑体"/>
              <w:sz w:val="24"/>
              <w:szCs w:val="24"/>
            </w:rPr>
            <w:t>入决算情况说明</w:t>
          </w:r>
          <w:r>
            <w:rPr>
              <w:sz w:val="24"/>
              <w:szCs w:val="24"/>
            </w:rPr>
            <w:tab/>
          </w:r>
          <w:r>
            <w:rPr>
              <w:rFonts w:hint="eastAsia"/>
              <w:sz w:val="24"/>
              <w:szCs w:val="24"/>
            </w:rPr>
            <w:t>5</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"_Toc11427" </w:instrText>
          </w:r>
          <w:r>
            <w:fldChar w:fldCharType="separate"/>
          </w:r>
          <w:r>
            <w:rPr>
              <w:rFonts w:ascii="黑体" w:hAnsi="黑体" w:eastAsia="黑体"/>
              <w:sz w:val="24"/>
              <w:szCs w:val="24"/>
            </w:rPr>
            <w:t>三、</w:t>
          </w:r>
          <w:r>
            <w:rPr>
              <w:rFonts w:hint="eastAsia" w:ascii="黑体" w:hAnsi="黑体" w:eastAsia="黑体"/>
              <w:sz w:val="24"/>
              <w:szCs w:val="44"/>
            </w:rPr>
            <w:t>支</w:t>
          </w:r>
          <w:r>
            <w:rPr>
              <w:rFonts w:hint="eastAsia" w:ascii="黑体" w:hAnsi="黑体" w:eastAsia="黑体"/>
              <w:sz w:val="24"/>
              <w:szCs w:val="24"/>
            </w:rPr>
            <w:t>出决算情况说明</w:t>
          </w:r>
          <w:r>
            <w:rPr>
              <w:sz w:val="24"/>
              <w:szCs w:val="24"/>
            </w:rPr>
            <w:tab/>
          </w:r>
          <w:r>
            <w:rPr>
              <w:rFonts w:hint="eastAsia"/>
              <w:sz w:val="24"/>
              <w:szCs w:val="24"/>
            </w:rPr>
            <w:t>6</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"_Toc13846" </w:instrText>
          </w:r>
          <w:r>
            <w:fldChar w:fldCharType="separate"/>
          </w:r>
          <w:r>
            <w:rPr>
              <w:rFonts w:hint="eastAsia" w:ascii="黑体" w:hAnsi="黑体" w:eastAsia="黑体"/>
              <w:sz w:val="24"/>
              <w:szCs w:val="44"/>
            </w:rPr>
            <w:t>四、财</w:t>
          </w:r>
          <w:r>
            <w:rPr>
              <w:rFonts w:hint="eastAsia" w:ascii="黑体" w:hAnsi="黑体" w:eastAsia="黑体"/>
              <w:sz w:val="24"/>
              <w:szCs w:val="24"/>
            </w:rPr>
            <w:t>政拨款收入支出决算总体情况说明</w:t>
          </w:r>
          <w:r>
            <w:rPr>
              <w:sz w:val="24"/>
              <w:szCs w:val="24"/>
            </w:rPr>
            <w:tab/>
          </w:r>
          <w:r>
            <w:rPr>
              <w:rFonts w:hint="eastAsia"/>
              <w:sz w:val="24"/>
              <w:szCs w:val="24"/>
            </w:rPr>
            <w:t>7</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"_Toc14721" </w:instrText>
          </w:r>
          <w:r>
            <w:fldChar w:fldCharType="separate"/>
          </w:r>
          <w:r>
            <w:rPr>
              <w:rFonts w:hint="eastAsia" w:ascii="黑体" w:hAnsi="黑体" w:eastAsia="黑体"/>
              <w:sz w:val="24"/>
              <w:szCs w:val="44"/>
            </w:rPr>
            <w:t>五、一</w:t>
          </w:r>
          <w:r>
            <w:rPr>
              <w:rFonts w:hint="eastAsia" w:ascii="黑体" w:hAnsi="黑体" w:eastAsia="黑体"/>
              <w:sz w:val="24"/>
              <w:szCs w:val="24"/>
            </w:rPr>
            <w:t>般公共预算财政拨款支出决算情况说明</w:t>
          </w:r>
          <w:r>
            <w:rPr>
              <w:sz w:val="24"/>
              <w:szCs w:val="24"/>
            </w:rPr>
            <w:tab/>
          </w:r>
          <w:r>
            <w:rPr>
              <w:rFonts w:hint="eastAsia"/>
              <w:sz w:val="24"/>
              <w:szCs w:val="24"/>
            </w:rPr>
            <w:t>8</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"_Toc9233" </w:instrText>
          </w:r>
          <w:r>
            <w:fldChar w:fldCharType="separate"/>
          </w:r>
          <w:r>
            <w:rPr>
              <w:rFonts w:hint="eastAsia" w:ascii="黑体" w:eastAsia="黑体"/>
              <w:sz w:val="24"/>
              <w:szCs w:val="44"/>
            </w:rPr>
            <w:t>六、</w:t>
          </w:r>
          <w:r>
            <w:rPr>
              <w:rFonts w:hint="eastAsia" w:ascii="黑体" w:hAnsi="黑体" w:eastAsia="黑体"/>
              <w:sz w:val="24"/>
              <w:szCs w:val="44"/>
            </w:rPr>
            <w:t>一</w:t>
          </w:r>
          <w:r>
            <w:rPr>
              <w:rFonts w:hint="eastAsia" w:ascii="黑体" w:hAnsi="黑体" w:eastAsia="黑体"/>
              <w:sz w:val="24"/>
              <w:szCs w:val="24"/>
            </w:rPr>
            <w:t>般公共预算财政拨款基本支出决算情况说明</w:t>
          </w:r>
          <w:r>
            <w:rPr>
              <w:sz w:val="24"/>
              <w:szCs w:val="24"/>
            </w:rPr>
            <w:tab/>
          </w:r>
          <w:r>
            <w:rPr>
              <w:sz w:val="24"/>
              <w:szCs w:val="24"/>
            </w:rPr>
            <w:fldChar w:fldCharType="begin"/>
          </w:r>
          <w:r>
            <w:rPr>
              <w:sz w:val="24"/>
              <w:szCs w:val="24"/>
            </w:rPr>
            <w:instrText xml:space="preserve"> PAGEREF _Toc9233 \h </w:instrText>
          </w:r>
          <w:r>
            <w:rPr>
              <w:sz w:val="24"/>
              <w:szCs w:val="24"/>
            </w:rPr>
            <w:fldChar w:fldCharType="separate"/>
          </w:r>
          <w:r>
            <w:rPr>
              <w:sz w:val="24"/>
              <w:szCs w:val="24"/>
            </w:rPr>
            <w:t>1</w:t>
          </w:r>
          <w:r>
            <w:rPr>
              <w:rFonts w:hint="eastAsia"/>
              <w:sz w:val="24"/>
              <w:szCs w:val="24"/>
            </w:rPr>
            <w:t>0</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"_Toc3084" </w:instrText>
          </w:r>
          <w:r>
            <w:fldChar w:fldCharType="separate"/>
          </w:r>
          <w:r>
            <w:rPr>
              <w:rFonts w:hint="eastAsia" w:ascii="黑体" w:eastAsia="黑体"/>
              <w:sz w:val="24"/>
              <w:szCs w:val="44"/>
            </w:rPr>
            <w:t>七、</w:t>
          </w:r>
          <w:r>
            <w:rPr>
              <w:rFonts w:hint="eastAsia" w:ascii="黑体" w:hAnsi="黑体" w:eastAsia="黑体"/>
              <w:sz w:val="24"/>
              <w:szCs w:val="24"/>
            </w:rPr>
            <w:t>财政拨款“三公”经费支出决算情况说明</w:t>
          </w:r>
          <w:r>
            <w:rPr>
              <w:sz w:val="24"/>
              <w:szCs w:val="24"/>
            </w:rPr>
            <w:tab/>
          </w:r>
          <w:r>
            <w:rPr>
              <w:sz w:val="24"/>
              <w:szCs w:val="24"/>
            </w:rPr>
            <w:fldChar w:fldCharType="begin"/>
          </w:r>
          <w:r>
            <w:rPr>
              <w:sz w:val="24"/>
              <w:szCs w:val="24"/>
            </w:rPr>
            <w:instrText xml:space="preserve"> PAGEREF _Toc3084 \h </w:instrText>
          </w:r>
          <w:r>
            <w:rPr>
              <w:sz w:val="24"/>
              <w:szCs w:val="24"/>
            </w:rPr>
            <w:fldChar w:fldCharType="separate"/>
          </w:r>
          <w:r>
            <w:rPr>
              <w:sz w:val="24"/>
              <w:szCs w:val="24"/>
            </w:rPr>
            <w:t>1</w:t>
          </w:r>
          <w:r>
            <w:rPr>
              <w:rFonts w:hint="eastAsia"/>
              <w:sz w:val="24"/>
              <w:szCs w:val="24"/>
            </w:rPr>
            <w:t>1</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"_Toc29641" </w:instrText>
          </w:r>
          <w:r>
            <w:fldChar w:fldCharType="separate"/>
          </w:r>
          <w:r>
            <w:rPr>
              <w:rFonts w:hint="eastAsia" w:ascii="黑体" w:eastAsia="黑体"/>
              <w:sz w:val="24"/>
              <w:szCs w:val="44"/>
            </w:rPr>
            <w:t>八、</w:t>
          </w:r>
          <w:r>
            <w:rPr>
              <w:rFonts w:hint="eastAsia" w:ascii="黑体" w:hAnsi="黑体" w:eastAsia="黑体"/>
              <w:sz w:val="24"/>
              <w:szCs w:val="24"/>
            </w:rPr>
            <w:t>政府性基金预算支出决算情况说明</w:t>
          </w:r>
          <w:r>
            <w:rPr>
              <w:sz w:val="24"/>
              <w:szCs w:val="24"/>
            </w:rPr>
            <w:tab/>
          </w:r>
          <w:r>
            <w:rPr>
              <w:sz w:val="24"/>
              <w:szCs w:val="24"/>
            </w:rPr>
            <w:fldChar w:fldCharType="begin"/>
          </w:r>
          <w:r>
            <w:rPr>
              <w:sz w:val="24"/>
              <w:szCs w:val="24"/>
            </w:rPr>
            <w:instrText xml:space="preserve"> PAGEREF _Toc29641 \h </w:instrText>
          </w:r>
          <w:r>
            <w:rPr>
              <w:sz w:val="24"/>
              <w:szCs w:val="24"/>
            </w:rPr>
            <w:fldChar w:fldCharType="separate"/>
          </w:r>
          <w:r>
            <w:rPr>
              <w:sz w:val="24"/>
              <w:szCs w:val="24"/>
            </w:rPr>
            <w:t>1</w:t>
          </w:r>
          <w:r>
            <w:rPr>
              <w:rFonts w:hint="eastAsia"/>
              <w:sz w:val="24"/>
              <w:szCs w:val="24"/>
            </w:rPr>
            <w:t>3</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"_Toc5801" </w:instrText>
          </w:r>
          <w:r>
            <w:fldChar w:fldCharType="separate"/>
          </w:r>
          <w:r>
            <w:rPr>
              <w:rFonts w:hint="eastAsia" w:ascii="黑体" w:hAnsi="黑体" w:eastAsia="黑体"/>
              <w:sz w:val="24"/>
              <w:szCs w:val="24"/>
            </w:rPr>
            <w:t>九、国有资本经营预算支出决算情况说明</w:t>
          </w:r>
          <w:r>
            <w:rPr>
              <w:sz w:val="24"/>
              <w:szCs w:val="24"/>
            </w:rPr>
            <w:tab/>
          </w:r>
          <w:r>
            <w:rPr>
              <w:sz w:val="24"/>
              <w:szCs w:val="24"/>
            </w:rPr>
            <w:fldChar w:fldCharType="begin"/>
          </w:r>
          <w:r>
            <w:rPr>
              <w:sz w:val="24"/>
              <w:szCs w:val="24"/>
            </w:rPr>
            <w:instrText xml:space="preserve"> PAGEREF _Toc5801 \h </w:instrText>
          </w:r>
          <w:r>
            <w:rPr>
              <w:sz w:val="24"/>
              <w:szCs w:val="24"/>
            </w:rPr>
            <w:fldChar w:fldCharType="separate"/>
          </w:r>
          <w:r>
            <w:rPr>
              <w:sz w:val="24"/>
              <w:szCs w:val="24"/>
            </w:rPr>
            <w:t>1</w:t>
          </w:r>
          <w:r>
            <w:rPr>
              <w:rFonts w:hint="eastAsia"/>
              <w:sz w:val="24"/>
              <w:szCs w:val="24"/>
            </w:rPr>
            <w:t>4</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"_Toc7926" </w:instrText>
          </w:r>
          <w:r>
            <w:fldChar w:fldCharType="separate"/>
          </w:r>
          <w:r>
            <w:rPr>
              <w:rFonts w:hint="eastAsia" w:ascii="黑体" w:hAnsi="黑体" w:eastAsia="黑体"/>
              <w:sz w:val="24"/>
              <w:szCs w:val="24"/>
            </w:rPr>
            <w:t>十、其他重要事项的情况说明</w:t>
          </w:r>
          <w:r>
            <w:rPr>
              <w:sz w:val="24"/>
              <w:szCs w:val="24"/>
            </w:rPr>
            <w:tab/>
          </w:r>
          <w:r>
            <w:rPr>
              <w:sz w:val="24"/>
              <w:szCs w:val="24"/>
            </w:rPr>
            <w:fldChar w:fldCharType="begin"/>
          </w:r>
          <w:r>
            <w:rPr>
              <w:sz w:val="24"/>
              <w:szCs w:val="24"/>
            </w:rPr>
            <w:instrText xml:space="preserve"> PAGEREF _Toc7926 \h </w:instrText>
          </w:r>
          <w:r>
            <w:rPr>
              <w:sz w:val="24"/>
              <w:szCs w:val="24"/>
            </w:rPr>
            <w:fldChar w:fldCharType="separate"/>
          </w:r>
          <w:r>
            <w:rPr>
              <w:sz w:val="24"/>
              <w:szCs w:val="24"/>
            </w:rPr>
            <w:t>1</w:t>
          </w:r>
          <w:r>
            <w:rPr>
              <w:rFonts w:hint="eastAsia"/>
              <w:sz w:val="24"/>
              <w:szCs w:val="24"/>
            </w:rPr>
            <w:t>4</w:t>
          </w:r>
          <w:r>
            <w:rPr>
              <w:sz w:val="24"/>
              <w:szCs w:val="24"/>
            </w:rPr>
            <w:fldChar w:fldCharType="end"/>
          </w:r>
          <w:r>
            <w:rPr>
              <w:sz w:val="24"/>
              <w:szCs w:val="24"/>
            </w:rPr>
            <w:fldChar w:fldCharType="end"/>
          </w:r>
        </w:p>
        <w:p>
          <w:pPr>
            <w:pStyle w:val="54"/>
            <w:tabs>
              <w:tab w:val="right" w:leader="dot" w:pos="8306"/>
            </w:tabs>
            <w:rPr>
              <w:b/>
              <w:sz w:val="24"/>
              <w:szCs w:val="24"/>
            </w:rPr>
          </w:pPr>
          <w:r>
            <w:fldChar w:fldCharType="begin"/>
          </w:r>
          <w:r>
            <w:instrText xml:space="preserve"> HYPERLINK \l "_Toc30133" </w:instrText>
          </w:r>
          <w:r>
            <w:fldChar w:fldCharType="separate"/>
          </w:r>
          <w:r>
            <w:rPr>
              <w:rFonts w:hint="eastAsia" w:ascii="黑体" w:hAnsi="黑体" w:eastAsia="黑体"/>
              <w:b/>
              <w:sz w:val="24"/>
              <w:szCs w:val="24"/>
            </w:rPr>
            <w:t>第三部分</w:t>
          </w:r>
          <w:r>
            <w:rPr>
              <w:rFonts w:hint="eastAsia" w:ascii="黑体" w:hAnsi="黑体" w:eastAsia="黑体"/>
              <w:b/>
              <w:sz w:val="24"/>
              <w:szCs w:val="56"/>
            </w:rPr>
            <w:t>名</w:t>
          </w:r>
          <w:r>
            <w:rPr>
              <w:rFonts w:hint="eastAsia" w:ascii="黑体" w:hAnsi="黑体" w:eastAsia="黑体"/>
              <w:b/>
              <w:sz w:val="24"/>
              <w:szCs w:val="24"/>
            </w:rPr>
            <w:t>词解释</w:t>
          </w:r>
          <w:r>
            <w:rPr>
              <w:b/>
              <w:sz w:val="24"/>
              <w:szCs w:val="24"/>
            </w:rPr>
            <w:tab/>
          </w:r>
          <w:r>
            <w:rPr>
              <w:b/>
              <w:sz w:val="24"/>
              <w:szCs w:val="24"/>
            </w:rPr>
            <w:fldChar w:fldCharType="begin"/>
          </w:r>
          <w:r>
            <w:rPr>
              <w:b/>
              <w:sz w:val="24"/>
              <w:szCs w:val="24"/>
            </w:rPr>
            <w:instrText xml:space="preserve"> PAGEREF _Toc30133 \h </w:instrText>
          </w:r>
          <w:r>
            <w:rPr>
              <w:b/>
              <w:sz w:val="24"/>
              <w:szCs w:val="24"/>
            </w:rPr>
            <w:fldChar w:fldCharType="separate"/>
          </w:r>
          <w:r>
            <w:rPr>
              <w:b/>
              <w:sz w:val="24"/>
              <w:szCs w:val="24"/>
            </w:rPr>
            <w:t>1</w:t>
          </w:r>
          <w:r>
            <w:rPr>
              <w:rFonts w:hint="eastAsia"/>
              <w:b/>
              <w:sz w:val="24"/>
              <w:szCs w:val="24"/>
            </w:rPr>
            <w:t>6</w:t>
          </w:r>
          <w:r>
            <w:rPr>
              <w:b/>
              <w:sz w:val="24"/>
              <w:szCs w:val="24"/>
            </w:rPr>
            <w:fldChar w:fldCharType="end"/>
          </w:r>
          <w:r>
            <w:rPr>
              <w:b/>
              <w:sz w:val="24"/>
              <w:szCs w:val="24"/>
            </w:rPr>
            <w:fldChar w:fldCharType="end"/>
          </w:r>
        </w:p>
        <w:p>
          <w:pPr>
            <w:pStyle w:val="54"/>
            <w:tabs>
              <w:tab w:val="right" w:leader="dot" w:pos="8306"/>
            </w:tabs>
            <w:rPr>
              <w:b/>
              <w:sz w:val="24"/>
              <w:szCs w:val="24"/>
            </w:rPr>
          </w:pPr>
          <w:r>
            <w:fldChar w:fldCharType="begin"/>
          </w:r>
          <w:r>
            <w:instrText xml:space="preserve"> HYPERLINK \l "_Toc32441" </w:instrText>
          </w:r>
          <w:r>
            <w:fldChar w:fldCharType="separate"/>
          </w:r>
          <w:r>
            <w:rPr>
              <w:rFonts w:hint="eastAsia" w:ascii="黑体" w:hAnsi="黑体" w:eastAsia="黑体"/>
              <w:b/>
              <w:sz w:val="24"/>
              <w:szCs w:val="56"/>
            </w:rPr>
            <w:t>第</w:t>
          </w:r>
          <w:r>
            <w:rPr>
              <w:rFonts w:hint="eastAsia" w:ascii="黑体" w:hAnsi="黑体" w:eastAsia="黑体"/>
              <w:b/>
              <w:sz w:val="24"/>
              <w:szCs w:val="24"/>
            </w:rPr>
            <w:t>四部分附件</w:t>
          </w:r>
          <w:r>
            <w:rPr>
              <w:b/>
              <w:sz w:val="24"/>
              <w:szCs w:val="24"/>
            </w:rPr>
            <w:tab/>
          </w:r>
          <w:r>
            <w:rPr>
              <w:b/>
              <w:sz w:val="24"/>
              <w:szCs w:val="24"/>
            </w:rPr>
            <w:fldChar w:fldCharType="begin"/>
          </w:r>
          <w:r>
            <w:rPr>
              <w:b/>
              <w:sz w:val="24"/>
              <w:szCs w:val="24"/>
            </w:rPr>
            <w:instrText xml:space="preserve"> PAGEREF _Toc32441 \h </w:instrText>
          </w:r>
          <w:r>
            <w:rPr>
              <w:b/>
              <w:sz w:val="24"/>
              <w:szCs w:val="24"/>
            </w:rPr>
            <w:fldChar w:fldCharType="separate"/>
          </w:r>
          <w:r>
            <w:rPr>
              <w:b/>
              <w:sz w:val="24"/>
              <w:szCs w:val="24"/>
            </w:rPr>
            <w:t>2</w:t>
          </w:r>
          <w:r>
            <w:rPr>
              <w:rFonts w:hint="eastAsia"/>
              <w:b/>
              <w:sz w:val="24"/>
              <w:szCs w:val="24"/>
            </w:rPr>
            <w:t>0</w:t>
          </w:r>
          <w:r>
            <w:rPr>
              <w:b/>
              <w:sz w:val="24"/>
              <w:szCs w:val="24"/>
            </w:rPr>
            <w:fldChar w:fldCharType="end"/>
          </w:r>
          <w:r>
            <w:rPr>
              <w:b/>
              <w:sz w:val="24"/>
              <w:szCs w:val="24"/>
            </w:rPr>
            <w:fldChar w:fldCharType="end"/>
          </w:r>
        </w:p>
        <w:p>
          <w:pPr>
            <w:pStyle w:val="55"/>
            <w:tabs>
              <w:tab w:val="right" w:leader="dot" w:pos="8306"/>
            </w:tabs>
            <w:ind w:left="420"/>
            <w:rPr>
              <w:sz w:val="24"/>
              <w:szCs w:val="24"/>
            </w:rPr>
          </w:pPr>
          <w:r>
            <w:fldChar w:fldCharType="begin"/>
          </w:r>
          <w:r>
            <w:instrText xml:space="preserve"> HYPERLINK \l "_Toc30284" </w:instrText>
          </w:r>
          <w:r>
            <w:fldChar w:fldCharType="separate"/>
          </w:r>
          <w:r>
            <w:rPr>
              <w:rFonts w:hint="eastAsia" w:ascii="黑体" w:hAnsi="黑体" w:eastAsia="黑体" w:cs="黑体"/>
              <w:sz w:val="24"/>
              <w:szCs w:val="44"/>
            </w:rPr>
            <w:t>附件</w:t>
          </w:r>
          <w:r>
            <w:rPr>
              <w:sz w:val="24"/>
              <w:szCs w:val="24"/>
            </w:rPr>
            <w:tab/>
          </w:r>
          <w:r>
            <w:rPr>
              <w:sz w:val="24"/>
              <w:szCs w:val="24"/>
            </w:rPr>
            <w:fldChar w:fldCharType="begin"/>
          </w:r>
          <w:r>
            <w:rPr>
              <w:sz w:val="24"/>
              <w:szCs w:val="24"/>
            </w:rPr>
            <w:instrText xml:space="preserve"> PAGEREF _Toc30284 \h </w:instrText>
          </w:r>
          <w:r>
            <w:rPr>
              <w:sz w:val="24"/>
              <w:szCs w:val="24"/>
            </w:rPr>
            <w:fldChar w:fldCharType="separate"/>
          </w:r>
          <w:r>
            <w:rPr>
              <w:sz w:val="24"/>
              <w:szCs w:val="24"/>
            </w:rPr>
            <w:t>2</w:t>
          </w:r>
          <w:r>
            <w:rPr>
              <w:rFonts w:hint="eastAsia"/>
              <w:sz w:val="24"/>
              <w:szCs w:val="24"/>
            </w:rPr>
            <w:t>0</w:t>
          </w:r>
          <w:r>
            <w:rPr>
              <w:sz w:val="24"/>
              <w:szCs w:val="24"/>
            </w:rPr>
            <w:fldChar w:fldCharType="end"/>
          </w:r>
          <w:r>
            <w:rPr>
              <w:sz w:val="24"/>
              <w:szCs w:val="24"/>
            </w:rPr>
            <w:fldChar w:fldCharType="end"/>
          </w:r>
        </w:p>
        <w:p>
          <w:pPr>
            <w:pStyle w:val="54"/>
            <w:tabs>
              <w:tab w:val="right" w:leader="dot" w:pos="8306"/>
            </w:tabs>
            <w:rPr>
              <w:b/>
              <w:sz w:val="24"/>
              <w:szCs w:val="24"/>
            </w:rPr>
          </w:pPr>
          <w:r>
            <w:fldChar w:fldCharType="begin"/>
          </w:r>
          <w:r>
            <w:instrText xml:space="preserve"> HYPERLINK \l "_Toc183" </w:instrText>
          </w:r>
          <w:r>
            <w:fldChar w:fldCharType="separate"/>
          </w:r>
          <w:r>
            <w:rPr>
              <w:rFonts w:hint="eastAsia" w:ascii="黑体" w:hAnsi="黑体" w:eastAsia="黑体"/>
              <w:b/>
              <w:sz w:val="24"/>
              <w:szCs w:val="56"/>
            </w:rPr>
            <w:t>第</w:t>
          </w:r>
          <w:r>
            <w:rPr>
              <w:rFonts w:hint="eastAsia" w:ascii="黑体" w:hAnsi="黑体" w:eastAsia="黑体"/>
              <w:b/>
              <w:sz w:val="24"/>
              <w:szCs w:val="24"/>
            </w:rPr>
            <w:t>五部分附表</w:t>
          </w:r>
          <w:r>
            <w:rPr>
              <w:b/>
              <w:sz w:val="24"/>
              <w:szCs w:val="24"/>
            </w:rPr>
            <w:tab/>
          </w:r>
          <w:r>
            <w:rPr>
              <w:b/>
              <w:sz w:val="24"/>
              <w:szCs w:val="24"/>
            </w:rPr>
            <w:fldChar w:fldCharType="begin"/>
          </w:r>
          <w:r>
            <w:rPr>
              <w:b/>
              <w:sz w:val="24"/>
              <w:szCs w:val="24"/>
            </w:rPr>
            <w:instrText xml:space="preserve"> PAGEREF _Toc183 \h </w:instrText>
          </w:r>
          <w:r>
            <w:rPr>
              <w:b/>
              <w:sz w:val="24"/>
              <w:szCs w:val="24"/>
            </w:rPr>
            <w:fldChar w:fldCharType="separate"/>
          </w:r>
          <w:r>
            <w:rPr>
              <w:b/>
              <w:sz w:val="24"/>
              <w:szCs w:val="24"/>
            </w:rPr>
            <w:t>3</w:t>
          </w:r>
          <w:r>
            <w:rPr>
              <w:rFonts w:hint="eastAsia"/>
              <w:b/>
              <w:sz w:val="24"/>
              <w:szCs w:val="24"/>
            </w:rPr>
            <w:t>7</w:t>
          </w:r>
          <w:r>
            <w:rPr>
              <w:b/>
              <w:sz w:val="24"/>
              <w:szCs w:val="24"/>
            </w:rPr>
            <w:fldChar w:fldCharType="end"/>
          </w:r>
          <w:r>
            <w:rPr>
              <w:b/>
              <w:sz w:val="24"/>
              <w:szCs w:val="24"/>
            </w:rPr>
            <w:fldChar w:fldCharType="end"/>
          </w:r>
        </w:p>
        <w:p>
          <w:pPr>
            <w:pStyle w:val="55"/>
            <w:tabs>
              <w:tab w:val="right" w:leader="dot" w:pos="8306"/>
            </w:tabs>
            <w:ind w:left="420"/>
            <w:rPr>
              <w:sz w:val="24"/>
              <w:szCs w:val="24"/>
            </w:rPr>
          </w:pPr>
          <w:r>
            <w:fldChar w:fldCharType="begin"/>
          </w:r>
          <w:r>
            <w:instrText xml:space="preserve"> HYPERLINK \l "_Toc26385" </w:instrText>
          </w:r>
          <w:r>
            <w:fldChar w:fldCharType="separate"/>
          </w:r>
          <w:r>
            <w:rPr>
              <w:rFonts w:hint="eastAsia" w:ascii="仿宋" w:hAnsi="仿宋" w:eastAsia="仿宋"/>
              <w:sz w:val="24"/>
              <w:szCs w:val="24"/>
            </w:rPr>
            <w:t>一、收入支出决算总表</w:t>
          </w:r>
          <w:r>
            <w:rPr>
              <w:sz w:val="24"/>
              <w:szCs w:val="24"/>
            </w:rPr>
            <w:tab/>
          </w:r>
          <w:r>
            <w:rPr>
              <w:sz w:val="24"/>
              <w:szCs w:val="24"/>
            </w:rPr>
            <w:fldChar w:fldCharType="begin"/>
          </w:r>
          <w:r>
            <w:rPr>
              <w:sz w:val="24"/>
              <w:szCs w:val="24"/>
            </w:rPr>
            <w:instrText xml:space="preserve"> PAGEREF _Toc26385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"_Toc22910" </w:instrText>
          </w:r>
          <w:r>
            <w:fldChar w:fldCharType="separate"/>
          </w:r>
          <w:r>
            <w:rPr>
              <w:rFonts w:hint="eastAsia" w:ascii="仿宋" w:hAnsi="仿宋" w:eastAsia="仿宋"/>
              <w:sz w:val="24"/>
              <w:szCs w:val="24"/>
            </w:rPr>
            <w:t>二、收入决算表</w:t>
          </w:r>
          <w:r>
            <w:rPr>
              <w:sz w:val="24"/>
              <w:szCs w:val="24"/>
            </w:rPr>
            <w:tab/>
          </w:r>
          <w:r>
            <w:rPr>
              <w:sz w:val="24"/>
              <w:szCs w:val="24"/>
            </w:rPr>
            <w:fldChar w:fldCharType="begin"/>
          </w:r>
          <w:r>
            <w:rPr>
              <w:sz w:val="24"/>
              <w:szCs w:val="24"/>
            </w:rPr>
            <w:instrText xml:space="preserve"> PAGEREF _Toc22910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"_Toc3767" </w:instrText>
          </w:r>
          <w:r>
            <w:fldChar w:fldCharType="separate"/>
          </w:r>
          <w:r>
            <w:rPr>
              <w:rFonts w:hint="eastAsia" w:ascii="仿宋" w:hAnsi="仿宋" w:eastAsia="仿宋"/>
              <w:sz w:val="24"/>
              <w:szCs w:val="24"/>
            </w:rPr>
            <w:t>三、支出决算表</w:t>
          </w:r>
          <w:r>
            <w:rPr>
              <w:sz w:val="24"/>
              <w:szCs w:val="24"/>
            </w:rPr>
            <w:tab/>
          </w:r>
          <w:r>
            <w:rPr>
              <w:sz w:val="24"/>
              <w:szCs w:val="24"/>
            </w:rPr>
            <w:fldChar w:fldCharType="begin"/>
          </w:r>
          <w:r>
            <w:rPr>
              <w:sz w:val="24"/>
              <w:szCs w:val="24"/>
            </w:rPr>
            <w:instrText xml:space="preserve"> PAGEREF _Toc3767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"_Toc4795" </w:instrText>
          </w:r>
          <w:r>
            <w:fldChar w:fldCharType="separate"/>
          </w:r>
          <w:r>
            <w:rPr>
              <w:rFonts w:hint="eastAsia" w:ascii="仿宋" w:hAnsi="仿宋" w:eastAsia="仿宋"/>
              <w:sz w:val="24"/>
              <w:szCs w:val="24"/>
            </w:rPr>
            <w:t>四、财政拨款收入支出决算总表</w:t>
          </w:r>
          <w:r>
            <w:rPr>
              <w:sz w:val="24"/>
              <w:szCs w:val="24"/>
            </w:rPr>
            <w:tab/>
          </w:r>
          <w:r>
            <w:rPr>
              <w:sz w:val="24"/>
              <w:szCs w:val="24"/>
            </w:rPr>
            <w:fldChar w:fldCharType="begin"/>
          </w:r>
          <w:r>
            <w:rPr>
              <w:sz w:val="24"/>
              <w:szCs w:val="24"/>
            </w:rPr>
            <w:instrText xml:space="preserve"> PAGEREF _Toc4795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"_Toc22" </w:instrText>
          </w:r>
          <w:r>
            <w:fldChar w:fldCharType="separate"/>
          </w:r>
          <w:r>
            <w:rPr>
              <w:rFonts w:hint="eastAsia" w:ascii="仿宋" w:hAnsi="仿宋" w:eastAsia="仿宋"/>
              <w:sz w:val="24"/>
              <w:szCs w:val="24"/>
            </w:rPr>
            <w:t>五、财政拨款支出决算明细表</w:t>
          </w:r>
          <w:r>
            <w:rPr>
              <w:sz w:val="24"/>
              <w:szCs w:val="24"/>
            </w:rPr>
            <w:tab/>
          </w:r>
          <w:r>
            <w:rPr>
              <w:sz w:val="24"/>
              <w:szCs w:val="24"/>
            </w:rPr>
            <w:fldChar w:fldCharType="begin"/>
          </w:r>
          <w:r>
            <w:rPr>
              <w:sz w:val="24"/>
              <w:szCs w:val="24"/>
            </w:rPr>
            <w:instrText xml:space="preserve"> PAGEREF _Toc22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"_Toc24198" </w:instrText>
          </w:r>
          <w:r>
            <w:fldChar w:fldCharType="separate"/>
          </w:r>
          <w:r>
            <w:rPr>
              <w:rFonts w:hint="eastAsia" w:ascii="仿宋" w:hAnsi="仿宋" w:eastAsia="仿宋"/>
              <w:sz w:val="24"/>
              <w:szCs w:val="24"/>
            </w:rPr>
            <w:t>六、一般公共预算财政拨款支出决算表</w:t>
          </w:r>
          <w:r>
            <w:rPr>
              <w:sz w:val="24"/>
              <w:szCs w:val="24"/>
            </w:rPr>
            <w:tab/>
          </w:r>
          <w:r>
            <w:rPr>
              <w:sz w:val="24"/>
              <w:szCs w:val="24"/>
            </w:rPr>
            <w:fldChar w:fldCharType="begin"/>
          </w:r>
          <w:r>
            <w:rPr>
              <w:sz w:val="24"/>
              <w:szCs w:val="24"/>
            </w:rPr>
            <w:instrText xml:space="preserve"> PAGEREF _Toc24198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"_Toc22432" </w:instrText>
          </w:r>
          <w:r>
            <w:fldChar w:fldCharType="separate"/>
          </w:r>
          <w:r>
            <w:rPr>
              <w:rFonts w:hint="eastAsia" w:ascii="仿宋" w:hAnsi="仿宋" w:eastAsia="仿宋"/>
              <w:sz w:val="24"/>
              <w:szCs w:val="24"/>
            </w:rPr>
            <w:t>七、一般公共预算财政拨款支出决算明细表</w:t>
          </w:r>
          <w:r>
            <w:rPr>
              <w:sz w:val="24"/>
              <w:szCs w:val="24"/>
            </w:rPr>
            <w:tab/>
          </w:r>
          <w:r>
            <w:rPr>
              <w:sz w:val="24"/>
              <w:szCs w:val="24"/>
            </w:rPr>
            <w:fldChar w:fldCharType="begin"/>
          </w:r>
          <w:r>
            <w:rPr>
              <w:sz w:val="24"/>
              <w:szCs w:val="24"/>
            </w:rPr>
            <w:instrText xml:space="preserve"> PAGEREF _Toc22432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"_Toc22333" </w:instrText>
          </w:r>
          <w:r>
            <w:fldChar w:fldCharType="separate"/>
          </w:r>
          <w:r>
            <w:rPr>
              <w:rFonts w:hint="eastAsia" w:ascii="仿宋" w:hAnsi="仿宋" w:eastAsia="仿宋"/>
              <w:sz w:val="24"/>
              <w:szCs w:val="24"/>
            </w:rPr>
            <w:t>八、一般公共预算财政拨款基本支出决算表</w:t>
          </w:r>
          <w:r>
            <w:rPr>
              <w:sz w:val="24"/>
              <w:szCs w:val="24"/>
            </w:rPr>
            <w:tab/>
          </w:r>
          <w:r>
            <w:rPr>
              <w:sz w:val="24"/>
              <w:szCs w:val="24"/>
            </w:rPr>
            <w:fldChar w:fldCharType="begin"/>
          </w:r>
          <w:r>
            <w:rPr>
              <w:sz w:val="24"/>
              <w:szCs w:val="24"/>
            </w:rPr>
            <w:instrText xml:space="preserve"> PAGEREF _Toc22333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"_Toc24342" </w:instrText>
          </w:r>
          <w:r>
            <w:fldChar w:fldCharType="separate"/>
          </w:r>
          <w:r>
            <w:rPr>
              <w:rFonts w:hint="eastAsia" w:ascii="仿宋" w:hAnsi="仿宋" w:eastAsia="仿宋"/>
              <w:sz w:val="24"/>
              <w:szCs w:val="24"/>
            </w:rPr>
            <w:t>九、一般公共预算财政拨款项目支出决算表</w:t>
          </w:r>
          <w:r>
            <w:rPr>
              <w:sz w:val="24"/>
              <w:szCs w:val="24"/>
            </w:rPr>
            <w:tab/>
          </w:r>
          <w:r>
            <w:rPr>
              <w:sz w:val="24"/>
              <w:szCs w:val="24"/>
            </w:rPr>
            <w:fldChar w:fldCharType="begin"/>
          </w:r>
          <w:r>
            <w:rPr>
              <w:sz w:val="24"/>
              <w:szCs w:val="24"/>
            </w:rPr>
            <w:instrText xml:space="preserve"> PAGEREF _Toc24342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"_Toc7471" </w:instrText>
          </w:r>
          <w:r>
            <w:fldChar w:fldCharType="separate"/>
          </w:r>
          <w:r>
            <w:rPr>
              <w:rFonts w:hint="eastAsia" w:ascii="仿宋" w:hAnsi="仿宋" w:eastAsia="仿宋"/>
              <w:sz w:val="24"/>
              <w:szCs w:val="24"/>
            </w:rPr>
            <w:t>十、政府性基金预算财政拨款收入支出决算表</w:t>
          </w:r>
          <w:r>
            <w:rPr>
              <w:sz w:val="24"/>
              <w:szCs w:val="24"/>
            </w:rPr>
            <w:tab/>
          </w:r>
          <w:r>
            <w:rPr>
              <w:sz w:val="24"/>
              <w:szCs w:val="24"/>
            </w:rPr>
            <w:fldChar w:fldCharType="begin"/>
          </w:r>
          <w:r>
            <w:rPr>
              <w:sz w:val="24"/>
              <w:szCs w:val="24"/>
            </w:rPr>
            <w:instrText xml:space="preserve"> PAGEREF _Toc7471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"_Toc25830" </w:instrText>
          </w:r>
          <w:r>
            <w:fldChar w:fldCharType="separate"/>
          </w:r>
          <w:r>
            <w:rPr>
              <w:rFonts w:hint="eastAsia" w:ascii="仿宋" w:hAnsi="仿宋" w:eastAsia="仿宋"/>
              <w:sz w:val="24"/>
              <w:szCs w:val="24"/>
            </w:rPr>
            <w:t>十一、国有资本经营预算财政拨款收入支出决算表</w:t>
          </w:r>
          <w:r>
            <w:rPr>
              <w:sz w:val="24"/>
              <w:szCs w:val="24"/>
            </w:rPr>
            <w:tab/>
          </w:r>
          <w:r>
            <w:rPr>
              <w:sz w:val="24"/>
              <w:szCs w:val="24"/>
            </w:rPr>
            <w:fldChar w:fldCharType="begin"/>
          </w:r>
          <w:r>
            <w:rPr>
              <w:sz w:val="24"/>
              <w:szCs w:val="24"/>
            </w:rPr>
            <w:instrText xml:space="preserve"> PAGEREF _Toc25830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"_Toc16102" </w:instrText>
          </w:r>
          <w:r>
            <w:fldChar w:fldCharType="separate"/>
          </w:r>
          <w:r>
            <w:rPr>
              <w:rFonts w:hint="eastAsia" w:ascii="仿宋" w:hAnsi="仿宋" w:eastAsia="仿宋"/>
              <w:sz w:val="24"/>
              <w:szCs w:val="24"/>
            </w:rPr>
            <w:t>十二、国有资本经营预算财政拨款支出决算表</w:t>
          </w:r>
          <w:r>
            <w:rPr>
              <w:sz w:val="24"/>
              <w:szCs w:val="24"/>
            </w:rPr>
            <w:tab/>
          </w:r>
          <w:r>
            <w:rPr>
              <w:sz w:val="24"/>
              <w:szCs w:val="24"/>
            </w:rPr>
            <w:fldChar w:fldCharType="begin"/>
          </w:r>
          <w:r>
            <w:rPr>
              <w:sz w:val="24"/>
              <w:szCs w:val="24"/>
            </w:rPr>
            <w:instrText xml:space="preserve"> PAGEREF _Toc16102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"_Toc14316" </w:instrText>
          </w:r>
          <w:r>
            <w:fldChar w:fldCharType="separate"/>
          </w:r>
          <w:r>
            <w:rPr>
              <w:rFonts w:hint="eastAsia" w:ascii="仿宋" w:hAnsi="仿宋" w:eastAsia="仿宋"/>
              <w:sz w:val="24"/>
              <w:szCs w:val="24"/>
            </w:rPr>
            <w:t>十三、财政拨款“三公”经费支出决算表</w:t>
          </w:r>
          <w:r>
            <w:rPr>
              <w:sz w:val="24"/>
              <w:szCs w:val="24"/>
            </w:rPr>
            <w:tab/>
          </w:r>
          <w:r>
            <w:rPr>
              <w:sz w:val="24"/>
              <w:szCs w:val="24"/>
            </w:rPr>
            <w:fldChar w:fldCharType="begin"/>
          </w:r>
          <w:r>
            <w:rPr>
              <w:sz w:val="24"/>
              <w:szCs w:val="24"/>
            </w:rPr>
            <w:instrText xml:space="preserve"> PAGEREF _Toc14316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widowControl/>
            <w:adjustRightInd w:val="0"/>
            <w:snapToGrid w:val="0"/>
            <w:spacing w:line="360" w:lineRule="exact"/>
            <w:ind w:firstLine="1160" w:firstLineChars="550"/>
            <w:jc w:val="left"/>
            <w:rPr>
              <w:rFonts w:ascii="仿宋" w:hAnsi="仿宋" w:eastAsia="仿宋"/>
              <w:sz w:val="24"/>
            </w:rPr>
          </w:pPr>
          <w:r>
            <w:rPr>
              <w:b/>
            </w:rPr>
            <w:fldChar w:fldCharType="end"/>
          </w:r>
        </w:p>
      </w:sdtContent>
    </w:sdt>
    <w:p>
      <w:pPr>
        <w:widowControl/>
        <w:spacing w:line="360" w:lineRule="exact"/>
        <w:jc w:val="left"/>
        <w:rPr>
          <w:rFonts w:ascii="仿宋" w:hAnsi="仿宋" w:eastAsia="仿宋"/>
          <w:bCs/>
          <w:kern w:val="44"/>
          <w:sz w:val="24"/>
        </w:rPr>
      </w:pPr>
      <w:bookmarkStart w:id="15" w:name="_Toc15396599"/>
      <w:bookmarkStart w:id="16" w:name="_Toc15377196"/>
      <w:r>
        <w:rPr>
          <w:rFonts w:ascii="仿宋" w:hAnsi="仿宋" w:eastAsia="仿宋"/>
          <w:b/>
          <w:sz w:val="24"/>
        </w:rPr>
        <w:br w:type="page"/>
      </w:r>
    </w:p>
    <w:p>
      <w:pPr>
        <w:pStyle w:val="3"/>
        <w:jc w:val="center"/>
        <w:rPr>
          <w:rStyle w:val="31"/>
          <w:rFonts w:ascii="黑体" w:hAnsi="黑体" w:eastAsia="黑体"/>
          <w:b/>
          <w:bCs w:val="0"/>
        </w:rPr>
      </w:pPr>
      <w:bookmarkStart w:id="17" w:name="_Toc28037"/>
      <w:r>
        <w:rPr>
          <w:rFonts w:hint="eastAsia" w:ascii="黑体" w:hAnsi="黑体" w:eastAsia="黑体"/>
          <w:b w:val="0"/>
        </w:rPr>
        <w:t xml:space="preserve">第一部分 </w:t>
      </w:r>
      <w:r>
        <w:rPr>
          <w:rStyle w:val="31"/>
          <w:rFonts w:hint="eastAsia" w:ascii="黑体" w:hAnsi="黑体" w:eastAsia="黑体"/>
          <w:b w:val="0"/>
          <w:bCs w:val="0"/>
        </w:rPr>
        <w:t>部门概况</w:t>
      </w:r>
      <w:bookmarkEnd w:id="15"/>
      <w:bookmarkEnd w:id="16"/>
      <w:bookmarkEnd w:id="17"/>
    </w:p>
    <w:p>
      <w:pPr>
        <w:spacing w:line="600" w:lineRule="exact"/>
        <w:outlineLvl w:val="1"/>
        <w:rPr>
          <w:rFonts w:ascii="仿宋" w:hAnsi="仿宋" w:eastAsia="仿宋"/>
          <w:sz w:val="32"/>
          <w:szCs w:val="32"/>
        </w:rPr>
      </w:pPr>
      <w:bookmarkStart w:id="18" w:name="_Toc13779"/>
      <w:r>
        <w:rPr>
          <w:rFonts w:hint="eastAsia" w:ascii="黑体" w:eastAsia="黑体"/>
          <w:sz w:val="32"/>
          <w:szCs w:val="32"/>
        </w:rPr>
        <w:t xml:space="preserve">    一、部门职责</w:t>
      </w:r>
      <w:bookmarkEnd w:id="18"/>
      <w:bookmarkStart w:id="19" w:name="_Toc15396601"/>
      <w:bookmarkStart w:id="20" w:name="_Toc15377200"/>
    </w:p>
    <w:p>
      <w:pPr>
        <w:widowControl/>
        <w:spacing w:line="600" w:lineRule="exact"/>
        <w:rPr>
          <w:rFonts w:eastAsia="仿宋_GB2312"/>
          <w:color w:val="000000"/>
          <w:sz w:val="32"/>
          <w:szCs w:val="32"/>
        </w:rPr>
      </w:pPr>
      <w:r>
        <w:rPr>
          <w:rFonts w:hint="eastAsia" w:ascii="仿宋" w:hAnsi="仿宋" w:eastAsia="仿宋"/>
          <w:sz w:val="32"/>
          <w:szCs w:val="32"/>
        </w:rPr>
        <w:t xml:space="preserve">    攀枝花市发展和改革委员会</w:t>
      </w:r>
      <w:r>
        <w:rPr>
          <w:rFonts w:hint="eastAsia" w:eastAsia="仿宋_GB2312"/>
          <w:color w:val="000000"/>
          <w:sz w:val="32"/>
          <w:szCs w:val="32"/>
        </w:rPr>
        <w:t>贯彻执行国家有关国民经济和社会发展、经济体制改革的方针、政策和法律、法规；负责汇总分析全市财政、金融等方面情况，参与拟订财政、金融、土地政策；承担指导推进和综合协调全市经济体制改革的责任，研究经济体制改革和对外开放的重大问题及对策；贯彻执行国家和省价格法律、法规和方针、政策，编制和执行价格调整改革规划，组织实施年度价格总水平调控目标及价格调控措施；负责全市投资宏观管理和协调推进重大项目建设，拟订全社会固定资产投资总规模和投资结构的调控目标等；推进经济结构战略性调整。组织拟订全市综合性产业政策，推进重大科技成果产业化；促进城乡区域协调发展，研究分析区域经济和城镇化发展情况；负责重要商品总量平衡和宏观调控，研究分析市内外市场和对外贸易运行情况；负责全市社会发展与国民经济发展的政策衔接，组织拟订社会发展战略、</w:t>
      </w:r>
      <w:r>
        <w:rPr>
          <w:rFonts w:eastAsia="仿宋_GB2312"/>
          <w:color w:val="000000" w:themeColor="text1"/>
          <w:sz w:val="32"/>
          <w:szCs w:val="32"/>
        </w:rPr>
        <w:t>中长期规划和年度计划</w:t>
      </w:r>
      <w:r>
        <w:rPr>
          <w:rFonts w:hint="eastAsia" w:eastAsia="仿宋_GB2312"/>
          <w:color w:val="000000"/>
          <w:sz w:val="32"/>
          <w:szCs w:val="32"/>
        </w:rPr>
        <w:t>，</w:t>
      </w:r>
      <w:r>
        <w:rPr>
          <w:rFonts w:eastAsia="仿宋_GB2312"/>
          <w:color w:val="000000" w:themeColor="text1"/>
          <w:sz w:val="32"/>
          <w:szCs w:val="32"/>
        </w:rPr>
        <w:t>受市政府委托向市人大提交国民经济和社会发展计划报告</w:t>
      </w:r>
      <w:r>
        <w:rPr>
          <w:rFonts w:hint="eastAsia" w:eastAsia="仿宋_GB2312"/>
          <w:color w:val="000000"/>
          <w:sz w:val="32"/>
          <w:szCs w:val="32"/>
        </w:rPr>
        <w:t>等；推进可持续发展战略，负责全市节能减排的综合协调工作；研究提出全市能源发展战略和政策措施，拟订全市能源发展规划并提出相关体制改革建议；负责指导和协调全市招标投标工作；负责全市铁路建设项目前期工作，组织协调铁路建设工作中的征地拆迁和重大问题；贯彻执行国家、省以工代赈政策，促进民族地区经济社会持续、稳定、协调发展；承担市资源开发委员会(市实施西部大开发领导小组)的具体工作；承担市政府公布的有关行政审批事项；承办市政府交办的其他事项。</w:t>
      </w:r>
    </w:p>
    <w:p>
      <w:pPr>
        <w:pStyle w:val="2"/>
        <w:spacing w:before="93"/>
      </w:pPr>
    </w:p>
    <w:p>
      <w:pPr>
        <w:spacing w:line="600" w:lineRule="exact"/>
        <w:outlineLvl w:val="1"/>
        <w:rPr>
          <w:rStyle w:val="32"/>
          <w:rFonts w:ascii="黑体" w:hAnsi="黑体" w:eastAsia="黑体"/>
        </w:rPr>
      </w:pPr>
      <w:bookmarkStart w:id="21" w:name="_Toc1882"/>
      <w:r>
        <w:rPr>
          <w:rStyle w:val="32"/>
          <w:rFonts w:hint="eastAsia" w:ascii="黑体" w:hAnsi="黑体" w:eastAsia="黑体"/>
        </w:rPr>
        <w:t xml:space="preserve">    二、机构设置</w:t>
      </w:r>
      <w:bookmarkEnd w:id="19"/>
      <w:bookmarkEnd w:id="20"/>
      <w:bookmarkEnd w:id="21"/>
    </w:p>
    <w:p>
      <w:pPr>
        <w:adjustRightInd w:val="0"/>
        <w:snapToGrid w:val="0"/>
        <w:spacing w:line="600" w:lineRule="exact"/>
        <w:rPr>
          <w:rFonts w:eastAsia="楷体"/>
          <w:color w:val="000000" w:themeColor="text1"/>
          <w:sz w:val="32"/>
          <w:szCs w:val="32"/>
        </w:rPr>
      </w:pPr>
      <w:r>
        <w:rPr>
          <w:rFonts w:hint="eastAsia" w:ascii="仿宋" w:hAnsi="仿宋" w:eastAsia="仿宋"/>
          <w:sz w:val="32"/>
          <w:szCs w:val="32"/>
        </w:rPr>
        <w:t xml:space="preserve">    攀枝花市发展和改革委员会</w:t>
      </w:r>
      <w:r>
        <w:rPr>
          <w:rFonts w:eastAsia="仿宋_GB2312"/>
          <w:color w:val="000000" w:themeColor="text1"/>
          <w:sz w:val="32"/>
          <w:szCs w:val="32"/>
        </w:rPr>
        <w:t>共设置内设科室23个，驻委纪检监察组1个，下属</w:t>
      </w:r>
      <w:r>
        <w:rPr>
          <w:rFonts w:hint="eastAsia" w:ascii="仿宋" w:hAnsi="仿宋" w:eastAsia="仿宋"/>
          <w:sz w:val="32"/>
          <w:szCs w:val="32"/>
        </w:rPr>
        <w:t>二级预算单位</w:t>
      </w:r>
      <w:r>
        <w:rPr>
          <w:rFonts w:eastAsia="仿宋_GB2312"/>
          <w:color w:val="000000" w:themeColor="text1"/>
          <w:sz w:val="32"/>
          <w:szCs w:val="32"/>
        </w:rPr>
        <w:t>3个</w:t>
      </w:r>
      <w:r>
        <w:rPr>
          <w:rFonts w:hint="eastAsia" w:ascii="仿宋" w:hAnsi="仿宋" w:eastAsia="仿宋"/>
          <w:sz w:val="32"/>
          <w:szCs w:val="32"/>
        </w:rPr>
        <w:t>，其中行政单位0个，参照公务员法管理的事业单位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个，其他事业单位3个（</w:t>
      </w:r>
      <w:r>
        <w:rPr>
          <w:rFonts w:hint="eastAsia" w:eastAsia="仿宋_GB2312"/>
          <w:color w:val="000000" w:themeColor="text1"/>
          <w:sz w:val="32"/>
          <w:szCs w:val="32"/>
        </w:rPr>
        <w:t>非独立核算</w:t>
      </w:r>
      <w:r>
        <w:rPr>
          <w:rFonts w:hint="eastAsia" w:ascii="仿宋" w:hAnsi="仿宋" w:eastAsia="仿宋"/>
          <w:sz w:val="32"/>
          <w:szCs w:val="32"/>
        </w:rPr>
        <w:t>）</w:t>
      </w:r>
      <w:r>
        <w:rPr>
          <w:rFonts w:eastAsia="仿宋_GB2312"/>
          <w:color w:val="000000" w:themeColor="text1"/>
          <w:sz w:val="32"/>
          <w:szCs w:val="32"/>
        </w:rPr>
        <w:t>：市价格认证中心、市重要和应急物资储备中心及市重大项目储备中心</w:t>
      </w:r>
      <w:r>
        <w:rPr>
          <w:rFonts w:hint="eastAsia" w:eastAsia="仿宋_GB2312"/>
          <w:color w:val="000000" w:themeColor="text1"/>
          <w:sz w:val="32"/>
          <w:szCs w:val="32"/>
        </w:rPr>
        <w:t>，</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纳入市发展和改革委员会2022年度部门决算编制范围的非独立核算二级预算单位（</w:t>
      </w:r>
      <w:r>
        <w:rPr>
          <w:rFonts w:hint="eastAsia"/>
          <w:color w:val="000000" w:themeColor="text1"/>
          <w:sz w:val="32"/>
          <w:szCs w:val="32"/>
        </w:rPr>
        <w:t>非独立核算</w:t>
      </w:r>
      <w:r>
        <w:rPr>
          <w:rFonts w:hint="eastAsia" w:ascii="仿宋" w:hAnsi="仿宋" w:eastAsia="仿宋"/>
          <w:sz w:val="32"/>
          <w:szCs w:val="32"/>
        </w:rPr>
        <w:t>）包括：</w:t>
      </w:r>
    </w:p>
    <w:p>
      <w:pPr>
        <w:pStyle w:val="2"/>
        <w:numPr>
          <w:ilvl w:val="0"/>
          <w:numId w:val="1"/>
        </w:numPr>
        <w:adjustRightInd w:val="0"/>
        <w:snapToGrid w:val="0"/>
        <w:spacing w:before="93" w:line="600" w:lineRule="exact"/>
        <w:outlineLvl w:val="2"/>
        <w:rPr>
          <w:rFonts w:ascii="仿宋" w:hAnsi="仿宋" w:eastAsia="仿宋"/>
          <w:sz w:val="32"/>
          <w:szCs w:val="32"/>
        </w:rPr>
      </w:pPr>
      <w:bookmarkStart w:id="22" w:name="_Toc15377433"/>
      <w:bookmarkStart w:id="23" w:name="_Toc15377202"/>
      <w:bookmarkStart w:id="24" w:name="_Toc15306276"/>
      <w:bookmarkStart w:id="25" w:name="_Toc15378449"/>
      <w:r>
        <w:rPr>
          <w:color w:val="000000" w:themeColor="text1"/>
          <w:sz w:val="32"/>
          <w:szCs w:val="32"/>
        </w:rPr>
        <w:t>市价格认证中心</w:t>
      </w:r>
    </w:p>
    <w:bookmarkEnd w:id="22"/>
    <w:bookmarkEnd w:id="23"/>
    <w:bookmarkEnd w:id="24"/>
    <w:bookmarkEnd w:id="25"/>
    <w:p>
      <w:pPr>
        <w:pStyle w:val="2"/>
        <w:numPr>
          <w:ilvl w:val="0"/>
          <w:numId w:val="1"/>
        </w:numPr>
        <w:adjustRightInd w:val="0"/>
        <w:snapToGrid w:val="0"/>
        <w:spacing w:before="93" w:line="600" w:lineRule="exact"/>
        <w:outlineLvl w:val="2"/>
        <w:rPr>
          <w:rFonts w:ascii="仿宋" w:hAnsi="仿宋" w:eastAsia="仿宋"/>
          <w:sz w:val="32"/>
          <w:szCs w:val="32"/>
        </w:rPr>
      </w:pPr>
      <w:bookmarkStart w:id="26" w:name="_Toc15377203"/>
      <w:bookmarkStart w:id="27" w:name="_Toc15377434"/>
      <w:bookmarkStart w:id="28" w:name="_Toc15378450"/>
      <w:bookmarkStart w:id="29" w:name="_Toc15306277"/>
      <w:r>
        <w:rPr>
          <w:color w:val="000000" w:themeColor="text1"/>
          <w:sz w:val="32"/>
          <w:szCs w:val="32"/>
        </w:rPr>
        <w:t>市重要和应急物资储备中心</w:t>
      </w:r>
    </w:p>
    <w:bookmarkEnd w:id="26"/>
    <w:bookmarkEnd w:id="27"/>
    <w:bookmarkEnd w:id="28"/>
    <w:bookmarkEnd w:id="29"/>
    <w:p>
      <w:pPr>
        <w:pStyle w:val="2"/>
        <w:numPr>
          <w:ilvl w:val="0"/>
          <w:numId w:val="1"/>
        </w:numPr>
        <w:adjustRightInd w:val="0"/>
        <w:snapToGrid w:val="0"/>
        <w:spacing w:before="93" w:line="600" w:lineRule="exact"/>
        <w:outlineLvl w:val="2"/>
        <w:rPr>
          <w:rFonts w:ascii="仿宋" w:hAnsi="仿宋" w:eastAsia="仿宋"/>
          <w:sz w:val="32"/>
          <w:szCs w:val="32"/>
        </w:rPr>
      </w:pPr>
      <w:r>
        <w:rPr>
          <w:color w:val="000000" w:themeColor="text1"/>
          <w:sz w:val="32"/>
          <w:szCs w:val="32"/>
        </w:rPr>
        <w:t>市重大项目储备中心</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1"/>
          <w:rFonts w:ascii="黑体" w:hAnsi="黑体" w:eastAsia="黑体"/>
          <w:b w:val="0"/>
          <w:bCs/>
        </w:rPr>
      </w:pPr>
      <w:bookmarkStart w:id="30" w:name="_Toc15396602"/>
      <w:bookmarkStart w:id="31" w:name="_Toc10719"/>
      <w:bookmarkStart w:id="32" w:name="_Toc15377204"/>
      <w:r>
        <w:rPr>
          <w:rFonts w:hint="eastAsia" w:ascii="黑体" w:hAnsi="黑体" w:eastAsia="黑体"/>
          <w:b w:val="0"/>
        </w:rPr>
        <w:t xml:space="preserve">  第二部分 2022年度</w:t>
      </w:r>
      <w:r>
        <w:rPr>
          <w:rStyle w:val="31"/>
          <w:rFonts w:hint="eastAsia" w:ascii="黑体" w:hAnsi="黑体" w:eastAsia="黑体"/>
          <w:b w:val="0"/>
          <w:bCs/>
        </w:rPr>
        <w:t>部门决算情况说明</w:t>
      </w:r>
      <w:bookmarkEnd w:id="30"/>
      <w:bookmarkEnd w:id="31"/>
      <w:bookmarkEnd w:id="32"/>
    </w:p>
    <w:p>
      <w:pPr>
        <w:spacing w:line="600" w:lineRule="exact"/>
        <w:ind w:firstLine="640" w:firstLineChars="200"/>
        <w:rPr>
          <w:rFonts w:ascii="仿宋" w:hAnsi="仿宋" w:eastAsia="仿宋"/>
          <w:sz w:val="32"/>
          <w:szCs w:val="32"/>
        </w:rPr>
      </w:pPr>
    </w:p>
    <w:p>
      <w:pPr>
        <w:pStyle w:val="30"/>
        <w:numPr>
          <w:ilvl w:val="0"/>
          <w:numId w:val="2"/>
        </w:numPr>
        <w:spacing w:line="600" w:lineRule="exact"/>
        <w:ind w:firstLineChars="0"/>
        <w:outlineLvl w:val="1"/>
        <w:rPr>
          <w:rStyle w:val="32"/>
          <w:rFonts w:ascii="黑体" w:hAnsi="黑体" w:eastAsia="黑体"/>
          <w:b w:val="0"/>
        </w:rPr>
      </w:pPr>
      <w:bookmarkStart w:id="33" w:name="_Toc15396603"/>
      <w:bookmarkStart w:id="34" w:name="_Toc31161"/>
      <w:bookmarkStart w:id="35" w:name="_Toc15377205"/>
      <w:bookmarkStart w:id="36" w:name="_Toc23485"/>
      <w:r>
        <w:rPr>
          <w:rFonts w:hint="eastAsia" w:ascii="黑体" w:hAnsi="黑体" w:eastAsia="黑体"/>
          <w:sz w:val="32"/>
          <w:szCs w:val="32"/>
        </w:rPr>
        <w:t>收</w:t>
      </w:r>
      <w:r>
        <w:rPr>
          <w:rStyle w:val="32"/>
          <w:rFonts w:hint="eastAsia" w:ascii="黑体" w:hAnsi="黑体" w:eastAsia="黑体"/>
          <w:b w:val="0"/>
        </w:rPr>
        <w:t>入支出决算总体情况说明</w:t>
      </w:r>
      <w:bookmarkEnd w:id="33"/>
      <w:bookmarkEnd w:id="34"/>
      <w:bookmarkEnd w:id="35"/>
      <w:bookmarkEnd w:id="36"/>
    </w:p>
    <w:p>
      <w:pPr>
        <w:spacing w:line="600" w:lineRule="exact"/>
        <w:ind w:firstLine="640" w:firstLineChars="200"/>
        <w:rPr>
          <w:rStyle w:val="32"/>
          <w:rFonts w:ascii="仿宋_GB2312" w:hAnsi="仿宋" w:eastAsia="仿宋_GB2312" w:cs="Times New Roman"/>
          <w:b w:val="0"/>
          <w:bCs w:val="0"/>
        </w:rPr>
      </w:pPr>
      <w:r>
        <w:rPr>
          <w:rFonts w:hint="eastAsia" w:ascii="仿宋" w:hAnsi="仿宋" w:eastAsia="仿宋"/>
          <w:sz w:val="32"/>
          <w:szCs w:val="32"/>
        </w:rPr>
        <w:t>2022年度收入总计2867.44万元，支出总计3660.17万元。与2021年相比，收入减少689.92万元，下降19.39%；支出增加304.55万元，增长9.07%，主要变动原因是财政收支矛盾突出，2022年本级财政预算安排资金较上年下降，导致部门收入较上年减少；因</w:t>
      </w:r>
      <w:r>
        <w:rPr>
          <w:rFonts w:hint="eastAsia" w:ascii="仿宋_GB2312" w:hAnsi="仿宋" w:eastAsia="仿宋_GB2312"/>
          <w:sz w:val="32"/>
          <w:szCs w:val="32"/>
        </w:rPr>
        <w:t>其他支出中的成昆铁路扩能改造专户支出较上年有所增长，</w:t>
      </w:r>
      <w:r>
        <w:rPr>
          <w:rFonts w:hint="eastAsia" w:ascii="仿宋" w:hAnsi="仿宋" w:eastAsia="仿宋"/>
          <w:sz w:val="32"/>
          <w:szCs w:val="32"/>
        </w:rPr>
        <w:t>导致部门支出较上年增加。</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pPr>
      <w:r>
        <w:drawing>
          <wp:inline distT="0" distB="0" distL="0" distR="0">
            <wp:extent cx="43815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93"/>
      </w:pPr>
    </w:p>
    <w:p>
      <w:pPr>
        <w:pStyle w:val="30"/>
        <w:numPr>
          <w:ilvl w:val="0"/>
          <w:numId w:val="2"/>
        </w:numPr>
        <w:spacing w:line="600" w:lineRule="exact"/>
        <w:ind w:firstLineChars="0"/>
        <w:outlineLvl w:val="1"/>
        <w:rPr>
          <w:rStyle w:val="32"/>
          <w:rFonts w:ascii="黑体" w:hAnsi="黑体" w:eastAsia="黑体"/>
          <w:b w:val="0"/>
        </w:rPr>
      </w:pPr>
      <w:bookmarkStart w:id="37" w:name="_Toc15396604"/>
      <w:bookmarkStart w:id="38" w:name="_Toc15377206"/>
      <w:bookmarkStart w:id="39" w:name="_Toc11740"/>
      <w:r>
        <w:rPr>
          <w:rFonts w:hint="eastAsia" w:ascii="黑体" w:hAnsi="黑体" w:eastAsia="黑体"/>
          <w:sz w:val="32"/>
          <w:szCs w:val="32"/>
        </w:rPr>
        <w:t>收</w:t>
      </w:r>
      <w:r>
        <w:rPr>
          <w:rStyle w:val="32"/>
          <w:rFonts w:hint="eastAsia" w:ascii="黑体" w:hAnsi="黑体" w:eastAsia="黑体"/>
          <w:b w:val="0"/>
        </w:rPr>
        <w:t>入决算情况说明</w:t>
      </w:r>
      <w:bookmarkEnd w:id="37"/>
      <w:bookmarkEnd w:id="38"/>
      <w:bookmarkEnd w:id="39"/>
    </w:p>
    <w:p>
      <w:pPr>
        <w:spacing w:line="600" w:lineRule="exact"/>
        <w:ind w:firstLine="640" w:firstLineChars="200"/>
        <w:outlineLvl w:val="1"/>
        <w:rPr>
          <w:rFonts w:ascii="仿宋" w:hAnsi="仿宋" w:eastAsia="仿宋"/>
          <w:sz w:val="32"/>
          <w:szCs w:val="32"/>
        </w:rPr>
      </w:pPr>
      <w:bookmarkStart w:id="40" w:name="_Toc2188"/>
      <w:r>
        <w:rPr>
          <w:rFonts w:ascii="仿宋" w:hAnsi="仿宋" w:eastAsia="仿宋"/>
          <w:sz w:val="32"/>
          <w:szCs w:val="32"/>
        </w:rPr>
        <w:t>20</w:t>
      </w:r>
      <w:r>
        <w:rPr>
          <w:rFonts w:hint="eastAsia" w:ascii="仿宋" w:hAnsi="仿宋" w:eastAsia="仿宋"/>
          <w:sz w:val="32"/>
          <w:szCs w:val="32"/>
        </w:rPr>
        <w:t>22年本年收入合计2867.44万元，其中：一般公共预算财政拨款收入2651.31万元，占92.46</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；其他收入216.13万元，占7.54</w:t>
      </w:r>
      <w:r>
        <w:rPr>
          <w:rFonts w:ascii="仿宋" w:hAnsi="仿宋" w:eastAsia="仿宋"/>
          <w:sz w:val="32"/>
          <w:szCs w:val="32"/>
        </w:rPr>
        <w:t>%</w:t>
      </w:r>
      <w:r>
        <w:rPr>
          <w:rFonts w:hint="eastAsia" w:ascii="仿宋" w:hAnsi="仿宋" w:eastAsia="仿宋"/>
          <w:sz w:val="32"/>
          <w:szCs w:val="32"/>
        </w:rPr>
        <w:t>。</w:t>
      </w:r>
      <w:bookmarkEnd w:id="40"/>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图2：收入决算结构图</w:t>
      </w:r>
    </w:p>
    <w:p>
      <w:pPr>
        <w:pStyle w:val="2"/>
        <w:spacing w:before="93"/>
      </w:pPr>
      <w:r>
        <w:drawing>
          <wp:inline distT="0" distB="0" distL="0" distR="0">
            <wp:extent cx="4800600" cy="3209925"/>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30"/>
        <w:numPr>
          <w:ilvl w:val="0"/>
          <w:numId w:val="2"/>
        </w:numPr>
        <w:spacing w:line="600" w:lineRule="exact"/>
        <w:ind w:firstLineChars="0"/>
        <w:outlineLvl w:val="1"/>
        <w:rPr>
          <w:rStyle w:val="32"/>
          <w:rFonts w:ascii="黑体" w:hAnsi="黑体" w:eastAsia="黑体"/>
          <w:b w:val="0"/>
        </w:rPr>
      </w:pPr>
      <w:bookmarkStart w:id="41" w:name="_Toc15377207"/>
      <w:bookmarkStart w:id="42" w:name="_Toc15396605"/>
      <w:bookmarkStart w:id="43" w:name="_Toc11427"/>
      <w:r>
        <w:rPr>
          <w:rFonts w:hint="eastAsia" w:ascii="黑体" w:hAnsi="黑体" w:eastAsia="黑体"/>
          <w:sz w:val="32"/>
          <w:szCs w:val="32"/>
        </w:rPr>
        <w:t>支</w:t>
      </w:r>
      <w:r>
        <w:rPr>
          <w:rStyle w:val="32"/>
          <w:rFonts w:hint="eastAsia" w:ascii="黑体" w:hAnsi="黑体" w:eastAsia="黑体"/>
          <w:b w:val="0"/>
        </w:rPr>
        <w:t>出决算情况说明</w:t>
      </w:r>
      <w:bookmarkEnd w:id="41"/>
      <w:bookmarkEnd w:id="42"/>
      <w:bookmarkEnd w:id="43"/>
    </w:p>
    <w:p>
      <w:pPr>
        <w:spacing w:line="600" w:lineRule="exact"/>
        <w:ind w:firstLine="640" w:firstLineChars="200"/>
        <w:outlineLvl w:val="1"/>
        <w:rPr>
          <w:rFonts w:ascii="仿宋" w:hAnsi="仿宋" w:eastAsia="仿宋"/>
          <w:sz w:val="32"/>
          <w:szCs w:val="32"/>
        </w:rPr>
      </w:pPr>
      <w:bookmarkStart w:id="44" w:name="_Toc6035"/>
      <w:r>
        <w:rPr>
          <w:rFonts w:ascii="仿宋" w:hAnsi="仿宋" w:eastAsia="仿宋"/>
          <w:sz w:val="32"/>
          <w:szCs w:val="32"/>
        </w:rPr>
        <w:t>20</w:t>
      </w:r>
      <w:r>
        <w:rPr>
          <w:rFonts w:hint="eastAsia" w:ascii="仿宋" w:hAnsi="仿宋" w:eastAsia="仿宋"/>
          <w:sz w:val="32"/>
          <w:szCs w:val="32"/>
        </w:rPr>
        <w:t>22年本年支出合计3660.17万元，其中：基本支出2510.40万元，占68.58</w:t>
      </w:r>
      <w:r>
        <w:rPr>
          <w:rFonts w:ascii="仿宋" w:hAnsi="仿宋" w:eastAsia="仿宋"/>
          <w:sz w:val="32"/>
          <w:szCs w:val="32"/>
        </w:rPr>
        <w:t>%</w:t>
      </w:r>
      <w:r>
        <w:rPr>
          <w:rFonts w:hint="eastAsia" w:ascii="仿宋" w:hAnsi="仿宋" w:eastAsia="仿宋"/>
          <w:sz w:val="32"/>
          <w:szCs w:val="32"/>
        </w:rPr>
        <w:t>；项目支出1149.77万元，占31.42</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44"/>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spacing w:before="93"/>
      </w:pPr>
    </w:p>
    <w:p>
      <w:pPr>
        <w:pStyle w:val="2"/>
        <w:spacing w:before="93"/>
      </w:pPr>
      <w:r>
        <w:drawing>
          <wp:inline distT="0" distB="0" distL="0" distR="0">
            <wp:extent cx="3933825" cy="2676525"/>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spacing w:before="93"/>
      </w:pPr>
    </w:p>
    <w:p>
      <w:pPr>
        <w:spacing w:line="600" w:lineRule="exact"/>
        <w:ind w:firstLine="640" w:firstLineChars="200"/>
        <w:outlineLvl w:val="1"/>
        <w:rPr>
          <w:rStyle w:val="32"/>
          <w:rFonts w:ascii="黑体" w:hAnsi="黑体" w:eastAsia="黑体"/>
          <w:b w:val="0"/>
        </w:rPr>
      </w:pPr>
      <w:bookmarkStart w:id="45" w:name="_Toc15377208"/>
      <w:bookmarkStart w:id="46" w:name="_Toc15396606"/>
      <w:bookmarkStart w:id="47" w:name="_Toc13846"/>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45"/>
      <w:bookmarkEnd w:id="46"/>
      <w:bookmarkEnd w:id="47"/>
    </w:p>
    <w:p>
      <w:pPr>
        <w:spacing w:line="600" w:lineRule="exact"/>
        <w:ind w:firstLine="640" w:firstLineChars="200"/>
        <w:outlineLvl w:val="1"/>
        <w:rPr>
          <w:rFonts w:ascii="仿宋" w:hAnsi="仿宋" w:eastAsia="仿宋"/>
          <w:sz w:val="32"/>
          <w:szCs w:val="32"/>
        </w:rPr>
      </w:pPr>
      <w:bookmarkStart w:id="48" w:name="_Toc19909"/>
      <w:r>
        <w:rPr>
          <w:rFonts w:ascii="仿宋" w:hAnsi="仿宋" w:eastAsia="仿宋"/>
          <w:sz w:val="32"/>
          <w:szCs w:val="32"/>
        </w:rPr>
        <w:t>20</w:t>
      </w:r>
      <w:r>
        <w:rPr>
          <w:rFonts w:hint="eastAsia" w:ascii="仿宋" w:hAnsi="仿宋" w:eastAsia="仿宋"/>
          <w:sz w:val="32"/>
          <w:szCs w:val="32"/>
        </w:rPr>
        <w:t>22年财政拨款收入总计2651.31万元，财政拨款支出总计2776.00万元。与</w:t>
      </w:r>
      <w:r>
        <w:rPr>
          <w:rFonts w:ascii="仿宋" w:hAnsi="仿宋" w:eastAsia="仿宋"/>
          <w:sz w:val="32"/>
          <w:szCs w:val="32"/>
        </w:rPr>
        <w:t>20</w:t>
      </w:r>
      <w:r>
        <w:rPr>
          <w:rFonts w:hint="eastAsia" w:ascii="仿宋" w:hAnsi="仿宋" w:eastAsia="仿宋"/>
          <w:sz w:val="32"/>
          <w:szCs w:val="32"/>
        </w:rPr>
        <w:t>21年相比，财政拨款收入减少69.08万元，较上年下降2.53%；财政拨款支出增加55.42万元，较上年增长2.03</w:t>
      </w:r>
      <w:r>
        <w:rPr>
          <w:rFonts w:ascii="仿宋" w:hAnsi="仿宋" w:eastAsia="仿宋"/>
          <w:sz w:val="32"/>
          <w:szCs w:val="32"/>
        </w:rPr>
        <w:t>%</w:t>
      </w:r>
      <w:r>
        <w:rPr>
          <w:rFonts w:hint="eastAsia" w:ascii="仿宋" w:hAnsi="仿宋" w:eastAsia="仿宋"/>
          <w:sz w:val="32"/>
          <w:szCs w:val="32"/>
        </w:rPr>
        <w:t>。主要原因是部门严格落实政府过紧日子要求，本级财政预算精细化管理，对2022年初预算进一步压缩，导致部门2022年财政拨款收入较上年下降；因委机关工资福利支出、对个人和家庭的补助及资本性支出（办公设备购置）等支出较上年增加，导致部门2022年财政拨款支出较上年有所增长。</w:t>
      </w:r>
      <w:bookmarkEnd w:id="48"/>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图4：财政拨款收、支决算总计变动情况</w:t>
      </w:r>
      <w:bookmarkStart w:id="49" w:name="_Toc15377209"/>
      <w:bookmarkStart w:id="50" w:name="_Toc15396607"/>
    </w:p>
    <w:p>
      <w:pPr>
        <w:pStyle w:val="2"/>
        <w:spacing w:before="93"/>
      </w:pPr>
      <w:r>
        <w:drawing>
          <wp:inline distT="0" distB="0" distL="0" distR="0">
            <wp:extent cx="3743325" cy="2190750"/>
            <wp:effectExtent l="19050" t="0" r="9525" b="0"/>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黑体" w:hAnsi="黑体" w:eastAsia="黑体"/>
          <w:sz w:val="32"/>
          <w:szCs w:val="32"/>
        </w:rPr>
      </w:pPr>
    </w:p>
    <w:p>
      <w:pPr>
        <w:spacing w:line="600" w:lineRule="exact"/>
        <w:ind w:firstLine="640" w:firstLineChars="200"/>
        <w:outlineLvl w:val="1"/>
        <w:rPr>
          <w:rStyle w:val="32"/>
          <w:rFonts w:ascii="黑体" w:hAnsi="黑体" w:eastAsia="黑体"/>
          <w:b w:val="0"/>
        </w:rPr>
      </w:pPr>
      <w:bookmarkStart w:id="51" w:name="_Toc14721"/>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49"/>
      <w:bookmarkEnd w:id="50"/>
      <w:bookmarkEnd w:id="51"/>
    </w:p>
    <w:p>
      <w:pPr>
        <w:spacing w:line="600" w:lineRule="exact"/>
        <w:ind w:firstLine="643" w:firstLineChars="200"/>
        <w:outlineLvl w:val="2"/>
        <w:rPr>
          <w:rFonts w:ascii="仿宋" w:hAnsi="仿宋" w:eastAsia="仿宋"/>
          <w:b/>
          <w:sz w:val="32"/>
          <w:szCs w:val="32"/>
        </w:rPr>
      </w:pPr>
      <w:bookmarkStart w:id="52" w:name="_Toc15377210"/>
      <w:r>
        <w:rPr>
          <w:rFonts w:hint="eastAsia" w:ascii="仿宋" w:hAnsi="仿宋" w:eastAsia="仿宋"/>
          <w:b/>
          <w:sz w:val="32"/>
          <w:szCs w:val="32"/>
        </w:rPr>
        <w:t>（一）一般公共预算财政拨款支出决算总体情况</w:t>
      </w:r>
      <w:bookmarkEnd w:id="52"/>
    </w:p>
    <w:p>
      <w:pPr>
        <w:spacing w:line="600" w:lineRule="exact"/>
        <w:ind w:firstLine="640" w:firstLineChars="200"/>
        <w:rPr>
          <w:rFonts w:ascii="仿宋_GB2312" w:hAnsi="仿宋" w:eastAsia="仿宋_GB2312"/>
          <w:sz w:val="32"/>
          <w:szCs w:val="32"/>
        </w:rPr>
      </w:pPr>
      <w:r>
        <w:rPr>
          <w:rFonts w:ascii="仿宋" w:hAnsi="仿宋" w:eastAsia="仿宋"/>
          <w:sz w:val="32"/>
          <w:szCs w:val="32"/>
        </w:rPr>
        <w:t>20</w:t>
      </w:r>
      <w:r>
        <w:rPr>
          <w:rFonts w:hint="eastAsia" w:ascii="仿宋" w:hAnsi="仿宋" w:eastAsia="仿宋"/>
          <w:sz w:val="32"/>
          <w:szCs w:val="32"/>
        </w:rPr>
        <w:t>22年一般公共预算财政拨款支出2776.00万元，占本年支出合计的96.81</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21年相比，一般公共预算财政拨款支出增加112.5万元，增长4.22</w:t>
      </w:r>
      <w:r>
        <w:rPr>
          <w:rFonts w:ascii="仿宋" w:hAnsi="仿宋" w:eastAsia="仿宋"/>
          <w:sz w:val="32"/>
          <w:szCs w:val="32"/>
        </w:rPr>
        <w:t>%</w:t>
      </w:r>
      <w:r>
        <w:rPr>
          <w:rFonts w:hint="eastAsia" w:ascii="仿宋" w:hAnsi="仿宋" w:eastAsia="仿宋"/>
          <w:sz w:val="32"/>
          <w:szCs w:val="32"/>
        </w:rPr>
        <w:t>。主要变动原因是2022年</w:t>
      </w:r>
      <w:r>
        <w:rPr>
          <w:rFonts w:hint="eastAsia" w:ascii="仿宋_GB2312" w:hAnsi="仿宋" w:eastAsia="仿宋_GB2312"/>
          <w:sz w:val="32"/>
          <w:szCs w:val="32"/>
        </w:rPr>
        <w:t>人员经费较上年增加199.45万元，项目经费较上年增加33.43万元。</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spacing w:before="93"/>
      </w:pPr>
      <w:r>
        <w:drawing>
          <wp:inline distT="0" distB="0" distL="0" distR="0">
            <wp:extent cx="4210050" cy="255270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53" w:name="_Toc15377211"/>
      <w:r>
        <w:rPr>
          <w:rFonts w:hint="eastAsia" w:ascii="仿宋" w:hAnsi="仿宋" w:eastAsia="仿宋"/>
          <w:b/>
          <w:sz w:val="32"/>
          <w:szCs w:val="32"/>
        </w:rPr>
        <w:t>（二）一般公共预算财政拨款支出决算结构情况</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22年一般公共预算财政拨款支出2776.00万元，主要用于以下方面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2090.91万元，占75.32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509.63万元，占18.36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0.18万元，占0.01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175.27万元，占6.31</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rPr>
          <w:i/>
        </w:rPr>
      </w:pPr>
      <w:r>
        <w:rPr>
          <w:i/>
        </w:rPr>
        <w:drawing>
          <wp:inline distT="0" distB="0" distL="0" distR="0">
            <wp:extent cx="4572000" cy="2743200"/>
            <wp:effectExtent l="19050" t="0" r="19050" b="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pPr>
    </w:p>
    <w:p>
      <w:pPr>
        <w:spacing w:line="600" w:lineRule="exact"/>
        <w:ind w:firstLine="643" w:firstLineChars="200"/>
        <w:outlineLvl w:val="2"/>
        <w:rPr>
          <w:rFonts w:ascii="仿宋" w:hAnsi="仿宋" w:eastAsia="仿宋"/>
          <w:b/>
          <w:sz w:val="32"/>
          <w:szCs w:val="32"/>
        </w:rPr>
      </w:pPr>
      <w:bookmarkStart w:id="54" w:name="_Toc15377212"/>
      <w:r>
        <w:rPr>
          <w:rFonts w:hint="eastAsia" w:ascii="仿宋" w:hAnsi="仿宋" w:eastAsia="仿宋"/>
          <w:b/>
          <w:sz w:val="32"/>
          <w:szCs w:val="32"/>
        </w:rPr>
        <w:t>（三）一般公共预算财政拨款支出决算具体情况</w:t>
      </w:r>
      <w:bookmarkEnd w:id="54"/>
    </w:p>
    <w:p>
      <w:pPr>
        <w:spacing w:line="600" w:lineRule="exact"/>
        <w:ind w:firstLine="643" w:firstLineChars="200"/>
        <w:outlineLvl w:val="1"/>
        <w:rPr>
          <w:rFonts w:ascii="仿宋" w:hAnsi="仿宋" w:eastAsia="仿宋"/>
          <w:sz w:val="32"/>
          <w:szCs w:val="32"/>
        </w:rPr>
      </w:pPr>
      <w:bookmarkStart w:id="55" w:name="_Toc15378460"/>
      <w:bookmarkStart w:id="56" w:name="_Toc15377213"/>
      <w:bookmarkStart w:id="57" w:name="_Toc15377444"/>
      <w:bookmarkStart w:id="58" w:name="_Toc30888"/>
      <w:r>
        <w:rPr>
          <w:rFonts w:hint="eastAsia" w:ascii="仿宋" w:hAnsi="仿宋" w:eastAsia="仿宋"/>
          <w:b/>
          <w:sz w:val="32"/>
          <w:szCs w:val="32"/>
        </w:rPr>
        <w:t>2022年一般公共预算支出决算数为2776万元</w:t>
      </w:r>
      <w:r>
        <w:rPr>
          <w:rFonts w:hint="eastAsia" w:ascii="仿宋" w:hAnsi="仿宋" w:eastAsia="仿宋"/>
          <w:sz w:val="32"/>
          <w:szCs w:val="32"/>
        </w:rPr>
        <w:t>，</w:t>
      </w:r>
      <w:r>
        <w:rPr>
          <w:rStyle w:val="19"/>
          <w:rFonts w:hint="eastAsia" w:ascii="仿宋" w:hAnsi="仿宋" w:eastAsia="仿宋"/>
          <w:bCs/>
          <w:sz w:val="32"/>
          <w:szCs w:val="32"/>
        </w:rPr>
        <w:t>完成预算100</w:t>
      </w:r>
      <w:r>
        <w:rPr>
          <w:rStyle w:val="19"/>
          <w:rFonts w:ascii="仿宋" w:hAnsi="仿宋" w:eastAsia="仿宋"/>
          <w:bCs/>
          <w:sz w:val="32"/>
          <w:szCs w:val="32"/>
        </w:rPr>
        <w:t>%</w:t>
      </w:r>
      <w:r>
        <w:rPr>
          <w:rStyle w:val="19"/>
          <w:rFonts w:hint="eastAsia" w:ascii="仿宋" w:hAnsi="仿宋" w:eastAsia="仿宋"/>
          <w:bCs/>
          <w:sz w:val="32"/>
          <w:szCs w:val="32"/>
        </w:rPr>
        <w:t>。其中：</w:t>
      </w:r>
      <w:bookmarkEnd w:id="55"/>
      <w:bookmarkEnd w:id="56"/>
      <w:bookmarkEnd w:id="57"/>
      <w:bookmarkEnd w:id="58"/>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1.</w:t>
      </w:r>
      <w:r>
        <w:rPr>
          <w:rStyle w:val="19"/>
          <w:rFonts w:hint="eastAsia" w:ascii="仿宋" w:hAnsi="仿宋" w:eastAsia="仿宋"/>
          <w:bCs/>
          <w:sz w:val="32"/>
          <w:szCs w:val="32"/>
        </w:rPr>
        <w:t>一般公共服务（类）发展与改革事务（款）行政运行（项）</w:t>
      </w:r>
      <w:r>
        <w:rPr>
          <w:rStyle w:val="19"/>
          <w:rFonts w:ascii="仿宋" w:hAnsi="仿宋" w:eastAsia="仿宋"/>
          <w:bCs/>
          <w:sz w:val="32"/>
          <w:szCs w:val="32"/>
        </w:rPr>
        <w:t>:</w:t>
      </w:r>
      <w:r>
        <w:rPr>
          <w:rStyle w:val="19"/>
          <w:rFonts w:hint="eastAsia" w:ascii="仿宋" w:hAnsi="仿宋" w:eastAsia="仿宋"/>
          <w:b w:val="0"/>
          <w:bCs/>
          <w:sz w:val="32"/>
          <w:szCs w:val="32"/>
        </w:rPr>
        <w:t>支出决算为1517.05万元，完成预算100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Cs/>
          <w:sz w:val="32"/>
          <w:szCs w:val="32"/>
        </w:rPr>
      </w:pPr>
      <w:r>
        <w:rPr>
          <w:rStyle w:val="19"/>
          <w:rFonts w:hint="eastAsia" w:ascii="仿宋" w:hAnsi="仿宋" w:eastAsia="仿宋"/>
          <w:bCs/>
          <w:sz w:val="32"/>
          <w:szCs w:val="32"/>
        </w:rPr>
        <w:t>一般公共服务（类）发展与改革事务（款）事业运行（项）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支出决算为308.94万元，完成预算100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3" w:firstLineChars="200"/>
        <w:rPr>
          <w:rStyle w:val="19"/>
          <w:rFonts w:ascii="仿宋" w:hAnsi="仿宋" w:eastAsia="仿宋"/>
          <w:b w:val="0"/>
          <w:bCs/>
          <w:sz w:val="32"/>
          <w:szCs w:val="32"/>
        </w:rPr>
      </w:pPr>
      <w:r>
        <w:rPr>
          <w:rStyle w:val="19"/>
          <w:rFonts w:hint="eastAsia" w:ascii="仿宋" w:hAnsi="仿宋" w:eastAsia="仿宋"/>
          <w:bCs/>
          <w:sz w:val="32"/>
          <w:szCs w:val="32"/>
        </w:rPr>
        <w:t>一般公共服务（类）发展与改革事务（款）其他发展与改革事务支出（项）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支出决算为264.92万元，完成预算100.00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3" w:firstLineChars="200"/>
        <w:rPr>
          <w:rStyle w:val="19"/>
          <w:rFonts w:ascii="仿宋_GB2312" w:hAnsi="仿宋" w:eastAsia="仿宋_GB2312"/>
          <w:b w:val="0"/>
          <w:bCs/>
          <w:sz w:val="32"/>
          <w:szCs w:val="32"/>
        </w:rPr>
      </w:pPr>
      <w:r>
        <w:rPr>
          <w:rStyle w:val="19"/>
          <w:rFonts w:hint="eastAsia" w:ascii="仿宋" w:hAnsi="仿宋" w:eastAsia="仿宋"/>
          <w:bCs/>
          <w:sz w:val="32"/>
          <w:szCs w:val="32"/>
        </w:rPr>
        <w:t>2</w:t>
      </w:r>
      <w:r>
        <w:rPr>
          <w:rStyle w:val="19"/>
          <w:rFonts w:ascii="仿宋" w:hAnsi="仿宋" w:eastAsia="仿宋"/>
          <w:bCs/>
          <w:sz w:val="32"/>
          <w:szCs w:val="32"/>
        </w:rPr>
        <w:t>.</w:t>
      </w:r>
      <w:r>
        <w:rPr>
          <w:rStyle w:val="19"/>
          <w:rFonts w:hint="eastAsia" w:ascii="仿宋" w:hAnsi="仿宋" w:eastAsia="仿宋"/>
          <w:bCs/>
          <w:sz w:val="32"/>
          <w:szCs w:val="32"/>
        </w:rPr>
        <w:t>社会保障和就业（类）行政事业单位养老支出（款）行政单位离退休（项）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支出决算为329.84万元，完成预算100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3" w:firstLineChars="200"/>
        <w:rPr>
          <w:rStyle w:val="19"/>
          <w:rFonts w:ascii="仿宋_GB2312" w:hAnsi="仿宋" w:eastAsia="仿宋_GB2312"/>
          <w:b w:val="0"/>
          <w:bCs/>
          <w:sz w:val="32"/>
          <w:szCs w:val="32"/>
        </w:rPr>
      </w:pPr>
      <w:r>
        <w:rPr>
          <w:rStyle w:val="19"/>
          <w:rFonts w:hint="eastAsia" w:ascii="仿宋" w:hAnsi="仿宋" w:eastAsia="仿宋"/>
          <w:bCs/>
          <w:sz w:val="32"/>
          <w:szCs w:val="32"/>
        </w:rPr>
        <w:t>社会保障和就业（类）行政事业单位养老支出（款）机关事业单位基本养老保险缴费（项）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支出决算为135.84万元，完成预算100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3" w:firstLineChars="200"/>
        <w:rPr>
          <w:rFonts w:ascii="仿宋_GB2312" w:eastAsia="仿宋_GB2312"/>
          <w:b/>
        </w:rPr>
      </w:pPr>
      <w:r>
        <w:rPr>
          <w:rStyle w:val="19"/>
          <w:rFonts w:hint="eastAsia" w:ascii="仿宋" w:hAnsi="仿宋" w:eastAsia="仿宋"/>
          <w:bCs/>
          <w:sz w:val="32"/>
          <w:szCs w:val="32"/>
        </w:rPr>
        <w:t>社会保障和就业（类）行政事业单位养老支出（款）死亡抚恤（项）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支出决算为43.44万元，完成预算100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3" w:firstLineChars="200"/>
        <w:rPr>
          <w:rStyle w:val="19"/>
          <w:rFonts w:ascii="仿宋_GB2312" w:eastAsia="仿宋_GB2312"/>
        </w:rPr>
      </w:pPr>
      <w:r>
        <w:rPr>
          <w:rStyle w:val="19"/>
          <w:rFonts w:hint="eastAsia" w:ascii="仿宋" w:hAnsi="仿宋" w:eastAsia="仿宋"/>
          <w:bCs/>
          <w:sz w:val="32"/>
          <w:szCs w:val="32"/>
        </w:rPr>
        <w:t>社会保障和就业（类）社会福利（款）儿童福利（项）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支出决算为0.50万元，完成预算100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3" w:firstLineChars="200"/>
        <w:rPr>
          <w:rStyle w:val="19"/>
          <w:rFonts w:ascii="仿宋_GB2312" w:eastAsia="仿宋_GB2312"/>
        </w:rPr>
      </w:pPr>
      <w:r>
        <w:rPr>
          <w:rStyle w:val="19"/>
          <w:rFonts w:hint="eastAsia" w:ascii="仿宋" w:hAnsi="仿宋" w:eastAsia="仿宋"/>
          <w:bCs/>
          <w:sz w:val="32"/>
          <w:szCs w:val="32"/>
        </w:rPr>
        <w:t>3</w:t>
      </w:r>
      <w:r>
        <w:rPr>
          <w:rStyle w:val="19"/>
          <w:rFonts w:ascii="仿宋" w:hAnsi="仿宋" w:eastAsia="仿宋"/>
          <w:bCs/>
          <w:sz w:val="32"/>
          <w:szCs w:val="32"/>
        </w:rPr>
        <w:t>.</w:t>
      </w:r>
      <w:r>
        <w:rPr>
          <w:rStyle w:val="19"/>
          <w:rFonts w:hint="eastAsia" w:ascii="仿宋" w:hAnsi="仿宋" w:eastAsia="仿宋"/>
          <w:bCs/>
          <w:sz w:val="32"/>
          <w:szCs w:val="32"/>
        </w:rPr>
        <w:t>卫生健康支出（类）其他卫生健康支出（款）其他卫生健康支出（项）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支出决算为0.18万元，完成预算100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rPr>
        <w:t>4.</w:t>
      </w:r>
      <w:r>
        <w:rPr>
          <w:rFonts w:hint="eastAsia" w:ascii="仿宋" w:hAnsi="仿宋" w:eastAsia="仿宋"/>
          <w:b/>
          <w:bCs/>
          <w:sz w:val="32"/>
          <w:szCs w:val="32"/>
        </w:rPr>
        <w:t>住房保障</w:t>
      </w:r>
      <w:r>
        <w:rPr>
          <w:rStyle w:val="19"/>
          <w:rFonts w:hint="eastAsia" w:ascii="仿宋" w:hAnsi="仿宋" w:eastAsia="仿宋"/>
          <w:bCs/>
          <w:sz w:val="32"/>
          <w:szCs w:val="32"/>
        </w:rPr>
        <w:t>（类）住房改革支出（款）住房公积金（项）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w:t>
      </w:r>
      <w:r>
        <w:rPr>
          <w:rStyle w:val="19"/>
          <w:rFonts w:ascii="仿宋_GB2312" w:hAnsi="仿宋" w:eastAsia="仿宋_GB2312"/>
          <w:b w:val="0"/>
          <w:bCs/>
          <w:sz w:val="32"/>
          <w:szCs w:val="32"/>
        </w:rPr>
        <w:t>17</w:t>
      </w:r>
      <w:r>
        <w:rPr>
          <w:rStyle w:val="19"/>
          <w:rFonts w:hint="eastAsia" w:ascii="仿宋_GB2312" w:hAnsi="仿宋" w:eastAsia="仿宋_GB2312"/>
          <w:b w:val="0"/>
          <w:bCs/>
          <w:sz w:val="32"/>
          <w:szCs w:val="32"/>
        </w:rPr>
        <w:t>5</w:t>
      </w:r>
      <w:r>
        <w:rPr>
          <w:rStyle w:val="19"/>
          <w:rFonts w:ascii="仿宋_GB2312" w:hAnsi="仿宋" w:eastAsia="仿宋_GB2312"/>
          <w:b w:val="0"/>
          <w:bCs/>
          <w:sz w:val="32"/>
          <w:szCs w:val="32"/>
        </w:rPr>
        <w:t>.2</w:t>
      </w:r>
      <w:r>
        <w:rPr>
          <w:rStyle w:val="19"/>
          <w:rFonts w:hint="eastAsia" w:ascii="仿宋_GB2312" w:hAnsi="仿宋" w:eastAsia="仿宋_GB2312"/>
          <w:b w:val="0"/>
          <w:bCs/>
          <w:sz w:val="32"/>
          <w:szCs w:val="32"/>
        </w:rPr>
        <w:t>7万元，完成预算100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32"/>
          <w:color w:val="000000" w:themeColor="text1"/>
        </w:rPr>
      </w:pPr>
      <w:bookmarkStart w:id="59" w:name="_Toc15396608"/>
      <w:bookmarkStart w:id="60" w:name="_Toc9233"/>
      <w:bookmarkStart w:id="61" w:name="_Toc15377214"/>
      <w:r>
        <w:rPr>
          <w:rFonts w:hint="eastAsia" w:ascii="黑体" w:eastAsia="黑体"/>
          <w:color w:val="000000" w:themeColor="text1"/>
          <w:sz w:val="32"/>
          <w:szCs w:val="32"/>
        </w:rPr>
        <w:t>六</w:t>
      </w:r>
      <w:r>
        <w:rPr>
          <w:rFonts w:hint="eastAsia" w:ascii="黑体" w:eastAsia="黑体"/>
          <w:b/>
          <w:color w:val="000000" w:themeColor="text1"/>
          <w:sz w:val="32"/>
          <w:szCs w:val="32"/>
        </w:rPr>
        <w:t>、</w:t>
      </w:r>
      <w:r>
        <w:rPr>
          <w:rFonts w:hint="eastAsia" w:ascii="黑体" w:hAnsi="黑体" w:eastAsia="黑体"/>
          <w:b/>
          <w:color w:val="000000" w:themeColor="text1"/>
          <w:sz w:val="32"/>
          <w:szCs w:val="32"/>
        </w:rPr>
        <w:t>一</w:t>
      </w:r>
      <w:r>
        <w:rPr>
          <w:rStyle w:val="32"/>
          <w:rFonts w:hint="eastAsia" w:ascii="黑体" w:hAnsi="黑体" w:eastAsia="黑体"/>
          <w:b w:val="0"/>
          <w:color w:val="000000" w:themeColor="text1"/>
        </w:rPr>
        <w:t>般公共预算财政拨款基本支出决算情况说明</w:t>
      </w:r>
      <w:bookmarkEnd w:id="59"/>
      <w:bookmarkEnd w:id="60"/>
      <w:bookmarkEnd w:id="61"/>
      <w:r>
        <w:rPr>
          <w:rStyle w:val="32"/>
          <w:rFonts w:ascii="黑体" w:hAnsi="黑体" w:eastAsia="黑体"/>
          <w:b w:val="0"/>
          <w:color w:val="000000" w:themeColor="text1"/>
        </w:rPr>
        <w:tab/>
      </w:r>
    </w:p>
    <w:p>
      <w:pPr>
        <w:tabs>
          <w:tab w:val="right" w:pos="8306"/>
        </w:tabs>
        <w:spacing w:line="600" w:lineRule="exact"/>
        <w:ind w:firstLine="640"/>
        <w:outlineLvl w:val="1"/>
        <w:rPr>
          <w:rFonts w:asciiTheme="majorHAnsi" w:hAnsiTheme="majorHAnsi" w:eastAsiaTheme="majorEastAsia" w:cstheme="majorBidi"/>
          <w:b/>
          <w:bCs/>
          <w:color w:val="000000" w:themeColor="text1"/>
          <w:sz w:val="32"/>
          <w:szCs w:val="32"/>
        </w:rPr>
      </w:pPr>
      <w:bookmarkStart w:id="62" w:name="_Toc22379"/>
      <w:r>
        <w:rPr>
          <w:rFonts w:ascii="仿宋" w:hAnsi="仿宋" w:eastAsia="仿宋"/>
          <w:color w:val="000000" w:themeColor="text1"/>
          <w:sz w:val="32"/>
          <w:szCs w:val="32"/>
        </w:rPr>
        <w:t>20</w:t>
      </w:r>
      <w:r>
        <w:rPr>
          <w:rFonts w:hint="eastAsia" w:ascii="仿宋" w:hAnsi="仿宋" w:eastAsia="仿宋"/>
          <w:color w:val="000000" w:themeColor="text1"/>
          <w:sz w:val="32"/>
          <w:szCs w:val="32"/>
        </w:rPr>
        <w:t>22年一般公共预算财政拨款基本支出2510.40万元，其中：人员经费2326.48万元，主要包括：基本工资、津贴补贴、奖金、伙食补助费、绩效工资、机关事业单位基本养老保险缴费、其他社会保障缴费、其他工资福利支出、离休费、抚恤金、生活补助、医疗费补助、住房公积金、其他对个人和家庭的补助支出等。</w:t>
      </w:r>
      <w:r>
        <w:rPr>
          <w:rFonts w:ascii="仿宋" w:hAnsi="仿宋" w:eastAsia="仿宋"/>
          <w:color w:val="000000" w:themeColor="text1"/>
          <w:sz w:val="32"/>
          <w:szCs w:val="32"/>
        </w:rPr>
        <w:br w:type="textWrapping"/>
      </w:r>
      <w:r>
        <w:rPr>
          <w:rFonts w:hint="eastAsia" w:ascii="仿宋" w:hAnsi="仿宋" w:eastAsia="仿宋"/>
          <w:color w:val="000000" w:themeColor="text1"/>
          <w:sz w:val="32"/>
          <w:szCs w:val="32"/>
        </w:rPr>
        <w:t>　　公用经费183.92万元，主要包括：办公费、印刷费、咨询费、电费、邮电费、物业管理费、差旅费、维修（护）费、会议费、培训费、公务接待费、劳务费、委托业务费、工会经费、福利费、公务用车运行维护费、其他交通费、其他商品和服务支出、办公设备购置、其他资本性支出等。</w:t>
      </w:r>
      <w:bookmarkEnd w:id="62"/>
    </w:p>
    <w:p>
      <w:pPr>
        <w:spacing w:line="600" w:lineRule="exact"/>
        <w:ind w:firstLine="640"/>
        <w:outlineLvl w:val="1"/>
        <w:rPr>
          <w:rFonts w:ascii="黑体" w:eastAsia="黑体"/>
          <w:color w:val="000000" w:themeColor="text1"/>
          <w:sz w:val="32"/>
          <w:szCs w:val="32"/>
        </w:rPr>
      </w:pPr>
      <w:bookmarkStart w:id="63" w:name="_Toc15396609"/>
      <w:bookmarkStart w:id="64" w:name="_Toc15377215"/>
      <w:bookmarkStart w:id="65" w:name="_Toc3084"/>
    </w:p>
    <w:p>
      <w:pPr>
        <w:spacing w:line="600" w:lineRule="exact"/>
        <w:ind w:firstLine="640"/>
        <w:outlineLvl w:val="1"/>
        <w:rPr>
          <w:rStyle w:val="32"/>
          <w:rFonts w:ascii="黑体" w:hAnsi="黑体" w:eastAsia="黑体"/>
          <w:b w:val="0"/>
          <w:color w:val="000000" w:themeColor="text1"/>
        </w:rPr>
      </w:pPr>
      <w:r>
        <w:rPr>
          <w:rFonts w:hint="eastAsia" w:ascii="黑体" w:eastAsia="黑体"/>
          <w:color w:val="000000" w:themeColor="text1"/>
          <w:sz w:val="32"/>
          <w:szCs w:val="32"/>
        </w:rPr>
        <w:t>七、</w:t>
      </w:r>
      <w:r>
        <w:rPr>
          <w:rStyle w:val="32"/>
          <w:rFonts w:hint="eastAsia" w:ascii="黑体" w:hAnsi="黑体" w:eastAsia="黑体"/>
          <w:b w:val="0"/>
          <w:color w:val="000000" w:themeColor="text1"/>
        </w:rPr>
        <w:t>财政拨款</w:t>
      </w:r>
      <w:r>
        <w:rPr>
          <w:rStyle w:val="32"/>
          <w:rFonts w:hint="eastAsia" w:ascii="黑体" w:hAnsi="黑体" w:eastAsia="黑体"/>
          <w:color w:val="000000" w:themeColor="text1"/>
        </w:rPr>
        <w:t>“</w:t>
      </w:r>
      <w:r>
        <w:rPr>
          <w:rStyle w:val="32"/>
          <w:rFonts w:hint="eastAsia" w:ascii="黑体" w:hAnsi="黑体" w:eastAsia="黑体"/>
          <w:b w:val="0"/>
          <w:color w:val="000000" w:themeColor="text1"/>
        </w:rPr>
        <w:t>三公”经费支出决算情况说明</w:t>
      </w:r>
      <w:bookmarkEnd w:id="63"/>
      <w:bookmarkEnd w:id="64"/>
      <w:bookmarkEnd w:id="65"/>
    </w:p>
    <w:p>
      <w:pPr>
        <w:spacing w:line="600" w:lineRule="exact"/>
        <w:ind w:firstLine="640"/>
        <w:outlineLvl w:val="2"/>
        <w:rPr>
          <w:rFonts w:ascii="仿宋" w:hAnsi="仿宋" w:eastAsia="仿宋"/>
          <w:b/>
          <w:color w:val="000000" w:themeColor="text1"/>
          <w:sz w:val="32"/>
          <w:szCs w:val="32"/>
        </w:rPr>
      </w:pPr>
      <w:bookmarkStart w:id="66" w:name="_Toc15377216"/>
      <w:r>
        <w:rPr>
          <w:rFonts w:hint="eastAsia" w:ascii="仿宋" w:hAnsi="仿宋" w:eastAsia="仿宋"/>
          <w:b/>
          <w:color w:val="000000" w:themeColor="text1"/>
          <w:sz w:val="32"/>
          <w:szCs w:val="32"/>
        </w:rPr>
        <w:t>（一）“三公”经费财政拨款支出决算总体情况说明</w:t>
      </w:r>
      <w:bookmarkEnd w:id="66"/>
    </w:p>
    <w:p>
      <w:pPr>
        <w:spacing w:line="600" w:lineRule="exact"/>
        <w:ind w:firstLine="640"/>
        <w:rPr>
          <w:rFonts w:ascii="仿宋_GB2312" w:hAnsi="仿宋" w:eastAsia="仿宋_GB2312"/>
          <w:color w:val="000000" w:themeColor="text1"/>
          <w:sz w:val="32"/>
          <w:szCs w:val="32"/>
        </w:rPr>
      </w:pPr>
      <w:r>
        <w:rPr>
          <w:rFonts w:ascii="仿宋" w:hAnsi="仿宋" w:eastAsia="仿宋"/>
          <w:color w:val="000000" w:themeColor="text1"/>
          <w:sz w:val="32"/>
          <w:szCs w:val="32"/>
        </w:rPr>
        <w:t>20</w:t>
      </w:r>
      <w:r>
        <w:rPr>
          <w:rFonts w:hint="eastAsia" w:ascii="仿宋" w:hAnsi="仿宋" w:eastAsia="仿宋"/>
          <w:color w:val="000000" w:themeColor="text1"/>
          <w:sz w:val="32"/>
          <w:szCs w:val="32"/>
        </w:rPr>
        <w:t>22年“三公”经费财政拨款支出决算为8.07万元，完成预算65.50</w:t>
      </w:r>
      <w:r>
        <w:rPr>
          <w:rFonts w:ascii="仿宋" w:hAnsi="仿宋" w:eastAsia="仿宋"/>
          <w:color w:val="000000" w:themeColor="text1"/>
          <w:sz w:val="32"/>
          <w:szCs w:val="32"/>
        </w:rPr>
        <w:t>%</w:t>
      </w:r>
      <w:r>
        <w:rPr>
          <w:rFonts w:hint="eastAsia" w:ascii="仿宋" w:hAnsi="仿宋" w:eastAsia="仿宋"/>
          <w:color w:val="000000" w:themeColor="text1"/>
          <w:sz w:val="32"/>
          <w:szCs w:val="32"/>
        </w:rPr>
        <w:t>，较上年减少10.26万元，下降55.97%。</w:t>
      </w:r>
      <w:r>
        <w:rPr>
          <w:rFonts w:hint="eastAsia" w:ascii="仿宋_GB2312" w:hAnsi="仿宋" w:eastAsia="仿宋_GB2312"/>
          <w:sz w:val="32"/>
          <w:szCs w:val="32"/>
        </w:rPr>
        <w:t>委机关2022年“三公”经费支出决算数小于预算数，主要原因是委机关坚持厉行节约的原则，</w:t>
      </w:r>
      <w:r>
        <w:rPr>
          <w:rFonts w:hint="eastAsia" w:ascii="仿宋" w:hAnsi="仿宋" w:eastAsia="仿宋"/>
          <w:sz w:val="32"/>
          <w:szCs w:val="32"/>
        </w:rPr>
        <w:t>严格落实政府过紧日子要</w:t>
      </w:r>
      <w:r>
        <w:rPr>
          <w:rFonts w:hint="eastAsia" w:ascii="仿宋" w:hAnsi="仿宋" w:eastAsia="仿宋"/>
          <w:color w:val="000000" w:themeColor="text1"/>
          <w:sz w:val="32"/>
          <w:szCs w:val="32"/>
        </w:rPr>
        <w:t>求，</w:t>
      </w:r>
      <w:r>
        <w:rPr>
          <w:rFonts w:hint="eastAsia" w:ascii="仿宋_GB2312" w:hAnsi="仿宋" w:eastAsia="仿宋_GB2312"/>
          <w:color w:val="000000" w:themeColor="text1"/>
          <w:sz w:val="32"/>
          <w:szCs w:val="32"/>
        </w:rPr>
        <w:t>有效控制“三公”经费财政拨款支出。</w:t>
      </w:r>
    </w:p>
    <w:p>
      <w:pPr>
        <w:spacing w:line="600" w:lineRule="exact"/>
        <w:ind w:firstLine="640"/>
        <w:rPr>
          <w:rFonts w:ascii="仿宋" w:hAnsi="仿宋" w:eastAsia="仿宋"/>
          <w:color w:val="000000" w:themeColor="text1"/>
          <w:sz w:val="32"/>
          <w:szCs w:val="32"/>
        </w:rPr>
      </w:pPr>
      <w:bookmarkStart w:id="67" w:name="_Toc15377217"/>
      <w:r>
        <w:rPr>
          <w:rFonts w:hint="eastAsia" w:ascii="仿宋" w:hAnsi="仿宋" w:eastAsia="仿宋"/>
          <w:b/>
          <w:color w:val="000000" w:themeColor="text1"/>
          <w:sz w:val="32"/>
          <w:szCs w:val="32"/>
        </w:rPr>
        <w:t>（二）“三公”经费财政拨款支出决算具体情况说明</w:t>
      </w:r>
      <w:bookmarkEnd w:id="67"/>
    </w:p>
    <w:p>
      <w:pPr>
        <w:spacing w:line="600" w:lineRule="exact"/>
        <w:ind w:firstLine="640"/>
        <w:rPr>
          <w:rFonts w:ascii="仿宋" w:hAnsi="仿宋" w:eastAsia="仿宋"/>
          <w:color w:val="000000" w:themeColor="text1"/>
          <w:sz w:val="32"/>
          <w:szCs w:val="32"/>
        </w:rPr>
      </w:pPr>
      <w:r>
        <w:rPr>
          <w:rFonts w:ascii="仿宋" w:hAnsi="仿宋" w:eastAsia="仿宋"/>
          <w:color w:val="000000" w:themeColor="text1"/>
          <w:sz w:val="32"/>
          <w:szCs w:val="32"/>
        </w:rPr>
        <w:t>20</w:t>
      </w:r>
      <w:r>
        <w:rPr>
          <w:rFonts w:hint="eastAsia" w:ascii="仿宋" w:hAnsi="仿宋" w:eastAsia="仿宋"/>
          <w:color w:val="000000" w:themeColor="text1"/>
          <w:sz w:val="32"/>
          <w:szCs w:val="32"/>
        </w:rPr>
        <w:t>22年“三公”经费财政拨款支出决算中，因公出国（境）费支出决算0万元，占0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；公务用车购置及运行维护费支出决算5.70万元，占70.63</w:t>
      </w:r>
      <w:r>
        <w:rPr>
          <w:rFonts w:ascii="仿宋" w:hAnsi="仿宋" w:eastAsia="仿宋"/>
          <w:color w:val="000000" w:themeColor="text1"/>
          <w:sz w:val="32"/>
          <w:szCs w:val="32"/>
        </w:rPr>
        <w:t>%</w:t>
      </w:r>
      <w:r>
        <w:rPr>
          <w:rFonts w:hint="eastAsia" w:ascii="仿宋" w:hAnsi="仿宋" w:eastAsia="仿宋"/>
          <w:color w:val="000000" w:themeColor="text1"/>
          <w:sz w:val="32"/>
          <w:szCs w:val="32"/>
        </w:rPr>
        <w:t>；公务接待费支出决算2.37万元，占29.37</w:t>
      </w:r>
      <w:r>
        <w:rPr>
          <w:rFonts w:ascii="仿宋" w:hAnsi="仿宋" w:eastAsia="仿宋"/>
          <w:color w:val="000000" w:themeColor="text1"/>
          <w:sz w:val="32"/>
          <w:szCs w:val="32"/>
        </w:rPr>
        <w:t>%</w:t>
      </w:r>
      <w:r>
        <w:rPr>
          <w:rFonts w:hint="eastAsia" w:ascii="仿宋" w:hAnsi="仿宋" w:eastAsia="仿宋"/>
          <w:color w:val="000000" w:themeColor="text1"/>
          <w:sz w:val="32"/>
          <w:szCs w:val="32"/>
        </w:rPr>
        <w:t>。具体情况如下：</w:t>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图7：“三公”经费财政拨款支出结构</w:t>
      </w:r>
    </w:p>
    <w:p>
      <w:pPr>
        <w:pStyle w:val="2"/>
        <w:spacing w:before="93"/>
        <w:rPr>
          <w:color w:val="000000" w:themeColor="text1"/>
        </w:rPr>
      </w:pPr>
      <w:r>
        <w:rPr>
          <w:color w:val="000000" w:themeColor="text1"/>
        </w:rPr>
        <w:drawing>
          <wp:inline distT="0" distB="0" distL="0" distR="0">
            <wp:extent cx="4572000" cy="2743200"/>
            <wp:effectExtent l="19050" t="0" r="19050" b="0"/>
            <wp:docPr id="14"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rPr>
          <w:color w:val="000000" w:themeColor="text1"/>
        </w:rPr>
      </w:pPr>
    </w:p>
    <w:p>
      <w:pPr>
        <w:spacing w:line="600" w:lineRule="exact"/>
        <w:ind w:firstLine="640"/>
        <w:rPr>
          <w:rFonts w:ascii="仿宋_GB2312" w:eastAsia="仿宋_GB2312"/>
          <w:b/>
          <w:color w:val="000000" w:themeColor="text1"/>
          <w:sz w:val="32"/>
          <w:szCs w:val="32"/>
        </w:rPr>
      </w:pPr>
      <w:r>
        <w:rPr>
          <w:rFonts w:ascii="仿宋_GB2312" w:eastAsia="仿宋_GB2312"/>
          <w:b/>
          <w:color w:val="000000" w:themeColor="text1"/>
          <w:sz w:val="32"/>
          <w:szCs w:val="32"/>
        </w:rPr>
        <w:t>1.</w:t>
      </w:r>
      <w:r>
        <w:rPr>
          <w:rFonts w:hint="eastAsia" w:ascii="仿宋_GB2312" w:eastAsia="仿宋_GB2312"/>
          <w:b/>
          <w:color w:val="000000" w:themeColor="text1"/>
          <w:sz w:val="32"/>
          <w:szCs w:val="32"/>
        </w:rPr>
        <w:t>因公出国（境）经费支出</w:t>
      </w:r>
      <w:r>
        <w:rPr>
          <w:rFonts w:hint="eastAsia" w:ascii="仿宋_GB2312" w:eastAsia="仿宋_GB2312"/>
          <w:color w:val="000000" w:themeColor="text1"/>
          <w:sz w:val="32"/>
          <w:szCs w:val="32"/>
        </w:rPr>
        <w:t>0万元，</w:t>
      </w:r>
      <w:r>
        <w:rPr>
          <w:rStyle w:val="19"/>
          <w:rFonts w:hint="eastAsia" w:ascii="仿宋" w:hAnsi="仿宋" w:eastAsia="仿宋"/>
          <w:b w:val="0"/>
          <w:bCs/>
          <w:color w:val="000000" w:themeColor="text1"/>
          <w:sz w:val="32"/>
          <w:szCs w:val="32"/>
        </w:rPr>
        <w:t>完成预算0</w:t>
      </w:r>
      <w:r>
        <w:rPr>
          <w:rStyle w:val="19"/>
          <w:rFonts w:ascii="仿宋" w:hAnsi="仿宋" w:eastAsia="仿宋"/>
          <w:b w:val="0"/>
          <w:bCs/>
          <w:color w:val="000000" w:themeColor="text1"/>
          <w:sz w:val="32"/>
          <w:szCs w:val="32"/>
        </w:rPr>
        <w:t>%</w:t>
      </w:r>
      <w:r>
        <w:rPr>
          <w:rStyle w:val="19"/>
          <w:rFonts w:hint="eastAsia" w:ascii="仿宋" w:hAnsi="仿宋" w:eastAsia="仿宋"/>
          <w:b w:val="0"/>
          <w:bCs/>
          <w:color w:val="000000" w:themeColor="text1"/>
          <w:sz w:val="32"/>
          <w:szCs w:val="32"/>
        </w:rPr>
        <w:t>。</w:t>
      </w:r>
      <w:r>
        <w:rPr>
          <w:rFonts w:hint="eastAsia" w:ascii="仿宋_GB2312" w:eastAsia="仿宋_GB2312"/>
          <w:color w:val="000000" w:themeColor="text1"/>
          <w:sz w:val="32"/>
          <w:szCs w:val="32"/>
        </w:rPr>
        <w:t>全年安排因公出国（境）团组0次，出国（境）0人。</w:t>
      </w:r>
    </w:p>
    <w:p>
      <w:pPr>
        <w:spacing w:line="600" w:lineRule="exact"/>
        <w:ind w:firstLine="640"/>
        <w:rPr>
          <w:rFonts w:ascii="仿宋_GB2312" w:hAnsi="仿宋" w:eastAsia="仿宋_GB2312"/>
          <w:color w:val="000000" w:themeColor="text1"/>
          <w:sz w:val="32"/>
          <w:szCs w:val="32"/>
        </w:rPr>
      </w:pPr>
      <w:r>
        <w:rPr>
          <w:rFonts w:ascii="仿宋_GB2312" w:eastAsia="仿宋_GB2312"/>
          <w:b/>
          <w:color w:val="000000" w:themeColor="text1"/>
          <w:sz w:val="32"/>
          <w:szCs w:val="32"/>
        </w:rPr>
        <w:t>2.</w:t>
      </w:r>
      <w:r>
        <w:rPr>
          <w:rFonts w:hint="eastAsia" w:ascii="仿宋_GB2312" w:eastAsia="仿宋_GB2312"/>
          <w:b/>
          <w:color w:val="000000" w:themeColor="text1"/>
          <w:sz w:val="32"/>
          <w:szCs w:val="32"/>
        </w:rPr>
        <w:t>公务用车购置及运行维护费支出</w:t>
      </w:r>
      <w:r>
        <w:rPr>
          <w:rFonts w:hint="eastAsia" w:ascii="仿宋_GB2312" w:eastAsia="仿宋_GB2312"/>
          <w:color w:val="000000" w:themeColor="text1"/>
          <w:sz w:val="32"/>
          <w:szCs w:val="32"/>
        </w:rPr>
        <w:t>5.70万元,</w:t>
      </w:r>
      <w:r>
        <w:rPr>
          <w:rStyle w:val="19"/>
          <w:rFonts w:hint="eastAsia" w:ascii="仿宋" w:hAnsi="仿宋" w:eastAsia="仿宋"/>
          <w:b w:val="0"/>
          <w:bCs/>
          <w:color w:val="000000" w:themeColor="text1"/>
          <w:sz w:val="32"/>
          <w:szCs w:val="32"/>
        </w:rPr>
        <w:t>完成预算58.64</w:t>
      </w:r>
      <w:r>
        <w:rPr>
          <w:rStyle w:val="19"/>
          <w:rFonts w:ascii="仿宋" w:hAnsi="仿宋" w:eastAsia="仿宋"/>
          <w:b w:val="0"/>
          <w:bCs/>
          <w:color w:val="000000" w:themeColor="text1"/>
          <w:sz w:val="32"/>
          <w:szCs w:val="32"/>
        </w:rPr>
        <w:t>%</w:t>
      </w:r>
      <w:r>
        <w:rPr>
          <w:rStyle w:val="19"/>
          <w:rFonts w:hint="eastAsia" w:ascii="仿宋" w:hAnsi="仿宋" w:eastAsia="仿宋"/>
          <w:b w:val="0"/>
          <w:bCs/>
          <w:color w:val="000000" w:themeColor="text1"/>
          <w:sz w:val="32"/>
          <w:szCs w:val="32"/>
        </w:rPr>
        <w:t>。</w:t>
      </w:r>
      <w:r>
        <w:rPr>
          <w:rFonts w:hint="eastAsia" w:ascii="仿宋_GB2312" w:eastAsia="仿宋_GB2312"/>
          <w:color w:val="000000" w:themeColor="text1"/>
          <w:sz w:val="32"/>
          <w:szCs w:val="32"/>
        </w:rPr>
        <w:t>公务用车购置及运行维护费支出决算比</w:t>
      </w:r>
      <w:r>
        <w:rPr>
          <w:rFonts w:ascii="仿宋_GB2312" w:eastAsia="仿宋_GB2312"/>
          <w:color w:val="000000" w:themeColor="text1"/>
          <w:sz w:val="32"/>
          <w:szCs w:val="32"/>
        </w:rPr>
        <w:t>20</w:t>
      </w:r>
      <w:r>
        <w:rPr>
          <w:rFonts w:hint="eastAsia" w:ascii="仿宋_GB2312" w:eastAsia="仿宋_GB2312"/>
          <w:color w:val="000000" w:themeColor="text1"/>
          <w:sz w:val="32"/>
          <w:szCs w:val="32"/>
        </w:rPr>
        <w:t>21年减少0.21万元，下降3.55</w:t>
      </w:r>
      <w:r>
        <w:rPr>
          <w:rFonts w:ascii="仿宋_GB2312" w:eastAsia="仿宋_GB2312"/>
          <w:color w:val="000000" w:themeColor="text1"/>
          <w:sz w:val="32"/>
          <w:szCs w:val="32"/>
        </w:rPr>
        <w:t>%</w:t>
      </w:r>
      <w:r>
        <w:rPr>
          <w:rFonts w:hint="eastAsia" w:ascii="仿宋_GB2312" w:eastAsia="仿宋_GB2312"/>
          <w:color w:val="000000" w:themeColor="text1"/>
          <w:sz w:val="32"/>
          <w:szCs w:val="32"/>
        </w:rPr>
        <w:t>。主要原因是</w:t>
      </w:r>
      <w:r>
        <w:rPr>
          <w:rFonts w:hint="eastAsia" w:ascii="仿宋_GB2312" w:hAnsi="仿宋" w:eastAsia="仿宋_GB2312"/>
          <w:color w:val="000000" w:themeColor="text1"/>
          <w:sz w:val="32"/>
          <w:szCs w:val="32"/>
        </w:rPr>
        <w:t>委机关坚持厉行节约的原则，</w:t>
      </w:r>
      <w:r>
        <w:rPr>
          <w:rFonts w:hint="eastAsia" w:ascii="仿宋" w:hAnsi="仿宋" w:eastAsia="仿宋"/>
          <w:color w:val="000000" w:themeColor="text1"/>
          <w:sz w:val="32"/>
          <w:szCs w:val="32"/>
        </w:rPr>
        <w:t>严格落实政府过紧日子要求，</w:t>
      </w:r>
      <w:r>
        <w:rPr>
          <w:rFonts w:hint="eastAsia" w:ascii="仿宋_GB2312" w:hAnsi="仿宋" w:eastAsia="仿宋_GB2312"/>
          <w:color w:val="000000" w:themeColor="text1"/>
          <w:sz w:val="32"/>
          <w:szCs w:val="32"/>
        </w:rPr>
        <w:t>有效控制</w:t>
      </w:r>
      <w:r>
        <w:rPr>
          <w:rFonts w:hint="eastAsia" w:ascii="仿宋_GB2312" w:eastAsia="仿宋_GB2312"/>
          <w:color w:val="000000" w:themeColor="text1"/>
          <w:sz w:val="32"/>
          <w:szCs w:val="32"/>
        </w:rPr>
        <w:t>公务用车运行维护费</w:t>
      </w:r>
      <w:r>
        <w:rPr>
          <w:rFonts w:hint="eastAsia" w:ascii="仿宋_GB2312" w:hAnsi="仿宋" w:eastAsia="仿宋_GB2312"/>
          <w:color w:val="000000" w:themeColor="text1"/>
          <w:sz w:val="32"/>
          <w:szCs w:val="32"/>
        </w:rPr>
        <w:t>财政拨款支出。</w:t>
      </w:r>
    </w:p>
    <w:p>
      <w:pPr>
        <w:spacing w:line="600" w:lineRule="exact"/>
        <w:ind w:firstLine="640" w:firstLineChars="200"/>
        <w:rPr>
          <w:rFonts w:ascii="仿宋_GB2312" w:hAnsi="仿宋" w:eastAsia="仿宋_GB2312"/>
          <w:color w:val="000000" w:themeColor="text1"/>
          <w:sz w:val="32"/>
          <w:szCs w:val="32"/>
        </w:rPr>
      </w:pPr>
      <w:r>
        <w:rPr>
          <w:rFonts w:hint="eastAsia" w:ascii="仿宋_GB2312" w:eastAsia="仿宋_GB2312"/>
          <w:color w:val="000000" w:themeColor="text1"/>
          <w:sz w:val="32"/>
          <w:szCs w:val="32"/>
        </w:rPr>
        <w:t>其中：</w:t>
      </w:r>
      <w:r>
        <w:rPr>
          <w:rFonts w:hint="eastAsia" w:ascii="仿宋_GB2312" w:eastAsia="仿宋_GB2312"/>
          <w:b/>
          <w:color w:val="000000" w:themeColor="text1"/>
          <w:sz w:val="32"/>
          <w:szCs w:val="32"/>
        </w:rPr>
        <w:t>公务用车购置支出</w:t>
      </w:r>
      <w:r>
        <w:rPr>
          <w:rFonts w:hint="eastAsia" w:ascii="仿宋_GB2312" w:eastAsia="仿宋_GB2312"/>
          <w:color w:val="000000" w:themeColor="text1"/>
          <w:sz w:val="32"/>
          <w:szCs w:val="32"/>
        </w:rPr>
        <w:t>0万元。全年按规定更新购置公务用车0辆，其中：轿车0辆、金额0万元，越野车0辆、金额0万元，载客汽车0辆、金额0万元。截至</w:t>
      </w:r>
      <w:r>
        <w:rPr>
          <w:rFonts w:ascii="仿宋_GB2312" w:eastAsia="仿宋_GB2312"/>
          <w:color w:val="000000" w:themeColor="text1"/>
          <w:sz w:val="32"/>
          <w:szCs w:val="32"/>
        </w:rPr>
        <w:t>20</w:t>
      </w:r>
      <w:r>
        <w:rPr>
          <w:rFonts w:hint="eastAsia" w:ascii="仿宋_GB2312" w:eastAsia="仿宋_GB2312"/>
          <w:color w:val="000000" w:themeColor="text1"/>
          <w:sz w:val="32"/>
          <w:szCs w:val="32"/>
        </w:rPr>
        <w:t>22年</w:t>
      </w:r>
      <w:r>
        <w:rPr>
          <w:rFonts w:ascii="仿宋_GB2312" w:eastAsia="仿宋_GB2312"/>
          <w:color w:val="000000" w:themeColor="text1"/>
          <w:sz w:val="32"/>
          <w:szCs w:val="32"/>
        </w:rPr>
        <w:t>12</w:t>
      </w:r>
      <w:r>
        <w:rPr>
          <w:rFonts w:hint="eastAsia" w:ascii="仿宋_GB2312" w:eastAsia="仿宋_GB2312"/>
          <w:color w:val="000000" w:themeColor="text1"/>
          <w:sz w:val="32"/>
          <w:szCs w:val="32"/>
        </w:rPr>
        <w:t>月底，</w:t>
      </w:r>
      <w:r>
        <w:rPr>
          <w:rFonts w:hint="eastAsia" w:ascii="仿宋_GB2312" w:hAnsi="仿宋" w:eastAsia="仿宋_GB2312"/>
          <w:color w:val="000000" w:themeColor="text1"/>
          <w:sz w:val="32"/>
          <w:szCs w:val="32"/>
        </w:rPr>
        <w:t>单位共有公务用车5辆，其中：商务车1辆、越野车2辆、其他用车2辆(市重要和应急物资储备中心内燃叉车2辆)。</w:t>
      </w:r>
    </w:p>
    <w:p>
      <w:pPr>
        <w:spacing w:line="60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公务用车运行维护费支出</w:t>
      </w:r>
      <w:r>
        <w:rPr>
          <w:rFonts w:hint="eastAsia" w:ascii="仿宋_GB2312" w:eastAsia="仿宋_GB2312"/>
          <w:color w:val="000000" w:themeColor="text1"/>
          <w:sz w:val="32"/>
          <w:szCs w:val="32"/>
        </w:rPr>
        <w:t>5.70万元。</w:t>
      </w:r>
      <w:r>
        <w:rPr>
          <w:rFonts w:hint="eastAsia" w:ascii="仿宋_GB2312" w:hAnsi="仿宋" w:eastAsia="仿宋_GB2312"/>
          <w:color w:val="000000" w:themeColor="text1"/>
          <w:sz w:val="32"/>
          <w:szCs w:val="32"/>
        </w:rPr>
        <w:t>主要用于争取项目资金、开展项目储备包装、深化区域合作、加快成昆铁路扩能改造、开展重大项目调研、康养产业论坛筹备、粮食及应急物资管理监督检查及救灾物资储备库调拨工作等所需的公务用车燃料费、维修费、过路过桥费、保险费等支出等。</w:t>
      </w:r>
    </w:p>
    <w:p>
      <w:pPr>
        <w:spacing w:line="600" w:lineRule="exact"/>
        <w:ind w:firstLine="640"/>
        <w:rPr>
          <w:rFonts w:ascii="仿宋_GB2312" w:hAnsi="仿宋" w:eastAsia="仿宋_GB2312"/>
          <w:color w:val="000000" w:themeColor="text1"/>
          <w:sz w:val="32"/>
          <w:szCs w:val="32"/>
        </w:rPr>
      </w:pPr>
      <w:r>
        <w:rPr>
          <w:rFonts w:ascii="仿宋_GB2312" w:eastAsia="仿宋_GB2312"/>
          <w:b/>
          <w:color w:val="000000" w:themeColor="text1"/>
          <w:sz w:val="32"/>
          <w:szCs w:val="32"/>
        </w:rPr>
        <w:t>3.</w:t>
      </w:r>
      <w:r>
        <w:rPr>
          <w:rFonts w:hint="eastAsia" w:ascii="仿宋_GB2312" w:eastAsia="仿宋_GB2312"/>
          <w:b/>
          <w:color w:val="000000" w:themeColor="text1"/>
          <w:sz w:val="32"/>
          <w:szCs w:val="32"/>
        </w:rPr>
        <w:t>公务接待费支出</w:t>
      </w:r>
      <w:r>
        <w:rPr>
          <w:rFonts w:hint="eastAsia" w:ascii="仿宋_GB2312" w:eastAsia="仿宋_GB2312"/>
          <w:color w:val="000000" w:themeColor="text1"/>
          <w:sz w:val="32"/>
          <w:szCs w:val="32"/>
        </w:rPr>
        <w:t>2.37万元，</w:t>
      </w:r>
      <w:r>
        <w:rPr>
          <w:rStyle w:val="19"/>
          <w:rFonts w:hint="eastAsia" w:ascii="仿宋" w:hAnsi="仿宋" w:eastAsia="仿宋"/>
          <w:b w:val="0"/>
          <w:bCs/>
          <w:color w:val="000000" w:themeColor="text1"/>
          <w:sz w:val="32"/>
          <w:szCs w:val="32"/>
        </w:rPr>
        <w:t>完成预算91.15</w:t>
      </w:r>
      <w:r>
        <w:rPr>
          <w:rStyle w:val="19"/>
          <w:rFonts w:ascii="仿宋" w:hAnsi="仿宋" w:eastAsia="仿宋"/>
          <w:b w:val="0"/>
          <w:bCs/>
          <w:color w:val="000000" w:themeColor="text1"/>
          <w:sz w:val="32"/>
          <w:szCs w:val="32"/>
        </w:rPr>
        <w:t>%</w:t>
      </w:r>
      <w:r>
        <w:rPr>
          <w:rStyle w:val="19"/>
          <w:rFonts w:hint="eastAsia" w:ascii="仿宋" w:hAnsi="仿宋" w:eastAsia="仿宋"/>
          <w:b w:val="0"/>
          <w:bCs/>
          <w:color w:val="000000" w:themeColor="text1"/>
          <w:sz w:val="32"/>
          <w:szCs w:val="32"/>
        </w:rPr>
        <w:t>。</w:t>
      </w:r>
      <w:r>
        <w:rPr>
          <w:rFonts w:hint="eastAsia" w:ascii="仿宋_GB2312" w:eastAsia="仿宋_GB2312"/>
          <w:color w:val="000000" w:themeColor="text1"/>
          <w:sz w:val="32"/>
          <w:szCs w:val="32"/>
        </w:rPr>
        <w:t>公务接待费支出决算比</w:t>
      </w:r>
      <w:r>
        <w:rPr>
          <w:rFonts w:ascii="仿宋_GB2312" w:eastAsia="仿宋_GB2312"/>
          <w:color w:val="000000" w:themeColor="text1"/>
          <w:sz w:val="32"/>
          <w:szCs w:val="32"/>
        </w:rPr>
        <w:t>20</w:t>
      </w:r>
      <w:r>
        <w:rPr>
          <w:rFonts w:hint="eastAsia" w:ascii="仿宋_GB2312" w:eastAsia="仿宋_GB2312"/>
          <w:color w:val="000000" w:themeColor="text1"/>
          <w:sz w:val="32"/>
          <w:szCs w:val="32"/>
        </w:rPr>
        <w:t>21年减少10.05万元，下降80.92</w:t>
      </w:r>
      <w:r>
        <w:rPr>
          <w:rFonts w:ascii="仿宋_GB2312" w:eastAsia="仿宋_GB2312"/>
          <w:color w:val="000000" w:themeColor="text1"/>
          <w:sz w:val="32"/>
          <w:szCs w:val="32"/>
        </w:rPr>
        <w:t>%</w:t>
      </w:r>
      <w:r>
        <w:rPr>
          <w:rFonts w:hint="eastAsia" w:ascii="仿宋_GB2312" w:eastAsia="仿宋_GB2312"/>
          <w:color w:val="000000" w:themeColor="text1"/>
          <w:sz w:val="32"/>
          <w:szCs w:val="32"/>
        </w:rPr>
        <w:t>。主要原因是</w:t>
      </w:r>
      <w:r>
        <w:rPr>
          <w:rFonts w:hint="eastAsia" w:ascii="仿宋_GB2312" w:hAnsi="仿宋" w:eastAsia="仿宋_GB2312"/>
          <w:color w:val="000000" w:themeColor="text1"/>
          <w:sz w:val="32"/>
          <w:szCs w:val="32"/>
        </w:rPr>
        <w:t>委机关坚持厉行节约的原则，</w:t>
      </w:r>
      <w:r>
        <w:rPr>
          <w:rFonts w:hint="eastAsia" w:ascii="仿宋" w:hAnsi="仿宋" w:eastAsia="仿宋"/>
          <w:color w:val="000000" w:themeColor="text1"/>
          <w:sz w:val="32"/>
          <w:szCs w:val="32"/>
        </w:rPr>
        <w:t>严格落实政府过紧日子要求，</w:t>
      </w:r>
      <w:r>
        <w:rPr>
          <w:rFonts w:hint="eastAsia" w:ascii="仿宋_GB2312" w:hAnsi="仿宋" w:eastAsia="仿宋_GB2312"/>
          <w:color w:val="000000" w:themeColor="text1"/>
          <w:sz w:val="32"/>
          <w:szCs w:val="32"/>
        </w:rPr>
        <w:t>有效控制</w:t>
      </w:r>
      <w:r>
        <w:rPr>
          <w:rFonts w:hint="eastAsia" w:ascii="仿宋_GB2312" w:eastAsia="仿宋_GB2312"/>
          <w:color w:val="000000" w:themeColor="text1"/>
          <w:sz w:val="32"/>
          <w:szCs w:val="32"/>
        </w:rPr>
        <w:t>公务接待费</w:t>
      </w:r>
      <w:r>
        <w:rPr>
          <w:rFonts w:hint="eastAsia" w:ascii="仿宋_GB2312" w:hAnsi="仿宋" w:eastAsia="仿宋_GB2312"/>
          <w:color w:val="000000" w:themeColor="text1"/>
          <w:sz w:val="32"/>
          <w:szCs w:val="32"/>
        </w:rPr>
        <w:t>财政拨款支出。</w:t>
      </w:r>
    </w:p>
    <w:p>
      <w:pPr>
        <w:spacing w:line="60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其中：</w:t>
      </w:r>
      <w:r>
        <w:rPr>
          <w:rFonts w:hint="eastAsia" w:ascii="仿宋" w:hAnsi="仿宋" w:eastAsia="仿宋"/>
          <w:b/>
          <w:color w:val="000000" w:themeColor="text1"/>
          <w:sz w:val="32"/>
          <w:szCs w:val="32"/>
        </w:rPr>
        <w:t>国内公务接待支出</w:t>
      </w:r>
      <w:r>
        <w:rPr>
          <w:rFonts w:hint="eastAsia" w:ascii="仿宋" w:hAnsi="仿宋" w:eastAsia="仿宋"/>
          <w:color w:val="000000" w:themeColor="text1"/>
          <w:sz w:val="32"/>
          <w:szCs w:val="32"/>
        </w:rPr>
        <w:t>2.37</w:t>
      </w:r>
      <w:r>
        <w:rPr>
          <w:rFonts w:hint="eastAsia" w:ascii="仿宋_GB2312" w:eastAsia="仿宋_GB2312"/>
          <w:color w:val="000000" w:themeColor="text1"/>
          <w:sz w:val="32"/>
          <w:szCs w:val="32"/>
        </w:rPr>
        <w:t>万元，主要用于</w:t>
      </w:r>
      <w:r>
        <w:rPr>
          <w:rFonts w:hint="eastAsia" w:ascii="仿宋_GB2312" w:hAnsi="仿宋" w:eastAsia="仿宋_GB2312"/>
          <w:color w:val="000000" w:themeColor="text1"/>
          <w:sz w:val="32"/>
          <w:szCs w:val="32"/>
        </w:rPr>
        <w:t>接待国家发改委、四川省发改委、四川省救灾物资储备中心、四川省市场监管局等上级部门来攀调研经济形势及重点项目等国内公务商务用餐费，和中铁规划院、中国城建院、三峡集团四川分公司、中国人口与发展研究中心、凉山州发改委、中铁二十四局、中山大学旅游学院等来攀实地勘测、考察学习康养产业及城乡物流等国内公务商务用餐费。</w:t>
      </w:r>
      <w:r>
        <w:rPr>
          <w:rFonts w:hint="eastAsia" w:ascii="仿宋_GB2312" w:eastAsia="仿宋_GB2312"/>
          <w:color w:val="000000" w:themeColor="text1"/>
          <w:sz w:val="32"/>
          <w:szCs w:val="32"/>
        </w:rPr>
        <w:t>国内公务接待16批次，142人次（不包括陪同人员），共计支出2.37万元。</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themeColor="text1"/>
          <w:sz w:val="32"/>
          <w:szCs w:val="32"/>
        </w:rPr>
        <w:t>外事接待支出</w:t>
      </w:r>
      <w:r>
        <w:rPr>
          <w:rFonts w:hint="eastAsia" w:ascii="仿宋" w:hAnsi="仿宋" w:eastAsia="仿宋"/>
          <w:color w:val="000000" w:themeColor="text1"/>
          <w:sz w:val="32"/>
          <w:szCs w:val="32"/>
        </w:rPr>
        <w:t>0</w:t>
      </w:r>
      <w:r>
        <w:rPr>
          <w:rFonts w:hint="eastAsia" w:ascii="仿宋_GB2312" w:eastAsia="仿宋_GB2312"/>
          <w:color w:val="000000" w:themeColor="text1"/>
          <w:sz w:val="32"/>
          <w:szCs w:val="32"/>
        </w:rPr>
        <w:t>万元，外事接待0批次，0人次（不包括陪同人员），共计支出0万元。</w:t>
      </w:r>
      <w:bookmarkStart w:id="68" w:name="_Toc15377218"/>
      <w:bookmarkStart w:id="69" w:name="_Toc15396610"/>
    </w:p>
    <w:p>
      <w:pPr>
        <w:spacing w:line="600" w:lineRule="exact"/>
        <w:ind w:firstLine="640"/>
        <w:outlineLvl w:val="1"/>
        <w:rPr>
          <w:rFonts w:ascii="黑体" w:eastAsia="黑体"/>
          <w:color w:val="000000" w:themeColor="text1"/>
          <w:sz w:val="32"/>
          <w:szCs w:val="32"/>
        </w:rPr>
      </w:pPr>
      <w:bookmarkStart w:id="70" w:name="_Toc29641"/>
    </w:p>
    <w:p>
      <w:pPr>
        <w:spacing w:line="600" w:lineRule="exact"/>
        <w:ind w:firstLine="640"/>
        <w:outlineLvl w:val="1"/>
        <w:rPr>
          <w:rStyle w:val="32"/>
          <w:rFonts w:ascii="黑体" w:hAnsi="黑体" w:eastAsia="黑体"/>
          <w:color w:val="000000" w:themeColor="text1"/>
        </w:rPr>
      </w:pPr>
      <w:r>
        <w:rPr>
          <w:rFonts w:hint="eastAsia" w:ascii="黑体" w:eastAsia="黑体"/>
          <w:color w:val="000000" w:themeColor="text1"/>
          <w:sz w:val="32"/>
          <w:szCs w:val="32"/>
        </w:rPr>
        <w:t>八、</w:t>
      </w:r>
      <w:r>
        <w:rPr>
          <w:rStyle w:val="32"/>
          <w:rFonts w:hint="eastAsia" w:ascii="黑体" w:hAnsi="黑体" w:eastAsia="黑体"/>
          <w:b w:val="0"/>
          <w:color w:val="000000" w:themeColor="text1"/>
        </w:rPr>
        <w:t>政府性基金预算支出决算情况说明</w:t>
      </w:r>
      <w:bookmarkEnd w:id="68"/>
      <w:bookmarkEnd w:id="69"/>
      <w:bookmarkEnd w:id="70"/>
    </w:p>
    <w:p>
      <w:pPr>
        <w:spacing w:line="600" w:lineRule="exact"/>
        <w:ind w:firstLine="640"/>
        <w:rPr>
          <w:rFonts w:ascii="仿宋_GB2312" w:eastAsia="仿宋_GB2312"/>
          <w:color w:val="000000" w:themeColor="text1"/>
          <w:sz w:val="32"/>
          <w:szCs w:val="32"/>
        </w:rPr>
      </w:pPr>
      <w:r>
        <w:rPr>
          <w:rFonts w:ascii="仿宋_GB2312" w:eastAsia="仿宋_GB2312"/>
          <w:color w:val="000000" w:themeColor="text1"/>
          <w:sz w:val="32"/>
          <w:szCs w:val="32"/>
        </w:rPr>
        <w:t>20</w:t>
      </w:r>
      <w:r>
        <w:rPr>
          <w:rFonts w:hint="eastAsia" w:ascii="仿宋_GB2312" w:eastAsia="仿宋_GB2312"/>
          <w:color w:val="000000" w:themeColor="text1"/>
          <w:sz w:val="32"/>
          <w:szCs w:val="32"/>
        </w:rPr>
        <w:t>22年政府性基金预算财政拨款支出0万元。</w:t>
      </w:r>
    </w:p>
    <w:p>
      <w:pPr>
        <w:numPr>
          <w:ilvl w:val="0"/>
          <w:numId w:val="3"/>
        </w:numPr>
        <w:spacing w:line="600" w:lineRule="exact"/>
        <w:ind w:firstLine="640"/>
        <w:outlineLvl w:val="1"/>
        <w:rPr>
          <w:rStyle w:val="32"/>
          <w:rFonts w:ascii="黑体" w:hAnsi="黑体" w:eastAsia="黑体"/>
          <w:b w:val="0"/>
          <w:color w:val="000000" w:themeColor="text1"/>
        </w:rPr>
      </w:pPr>
      <w:bookmarkStart w:id="71" w:name="_Toc15396611"/>
      <w:bookmarkStart w:id="72" w:name="_Toc15377219"/>
      <w:bookmarkStart w:id="73" w:name="_Toc5801"/>
      <w:r>
        <w:rPr>
          <w:rStyle w:val="32"/>
          <w:rFonts w:hint="eastAsia" w:ascii="黑体" w:hAnsi="黑体" w:eastAsia="黑体"/>
          <w:b w:val="0"/>
          <w:color w:val="000000" w:themeColor="text1"/>
        </w:rPr>
        <w:t>国有资本经营预算支出决算情况说明</w:t>
      </w:r>
      <w:bookmarkEnd w:id="71"/>
      <w:bookmarkEnd w:id="72"/>
      <w:bookmarkEnd w:id="73"/>
    </w:p>
    <w:p>
      <w:pPr>
        <w:spacing w:line="600" w:lineRule="exact"/>
        <w:ind w:firstLine="640"/>
        <w:rPr>
          <w:rFonts w:ascii="仿宋_GB2312" w:eastAsia="仿宋_GB2312"/>
          <w:color w:val="000000" w:themeColor="text1"/>
          <w:sz w:val="32"/>
          <w:szCs w:val="32"/>
        </w:rPr>
      </w:pPr>
      <w:r>
        <w:rPr>
          <w:rFonts w:ascii="仿宋_GB2312" w:eastAsia="仿宋_GB2312"/>
          <w:color w:val="000000" w:themeColor="text1"/>
          <w:sz w:val="32"/>
          <w:szCs w:val="32"/>
        </w:rPr>
        <w:t>20</w:t>
      </w:r>
      <w:r>
        <w:rPr>
          <w:rFonts w:hint="eastAsia" w:ascii="仿宋_GB2312" w:eastAsia="仿宋_GB2312"/>
          <w:color w:val="000000" w:themeColor="text1"/>
          <w:sz w:val="32"/>
          <w:szCs w:val="32"/>
        </w:rPr>
        <w:t>22年国有资本经营预算财政拨款支出0万元。</w:t>
      </w:r>
    </w:p>
    <w:p>
      <w:pPr>
        <w:pStyle w:val="2"/>
        <w:spacing w:before="93"/>
      </w:pPr>
    </w:p>
    <w:p>
      <w:pPr>
        <w:numPr>
          <w:ilvl w:val="0"/>
          <w:numId w:val="3"/>
        </w:numPr>
        <w:spacing w:line="600" w:lineRule="exact"/>
        <w:ind w:firstLine="640"/>
        <w:outlineLvl w:val="1"/>
        <w:rPr>
          <w:rStyle w:val="32"/>
          <w:rFonts w:ascii="黑体" w:hAnsi="黑体" w:eastAsia="黑体"/>
          <w:b w:val="0"/>
        </w:rPr>
      </w:pPr>
      <w:bookmarkStart w:id="74" w:name="_Toc15396612"/>
      <w:bookmarkStart w:id="75" w:name="_Toc15377221"/>
      <w:bookmarkStart w:id="76" w:name="_Toc7926"/>
      <w:r>
        <w:rPr>
          <w:rStyle w:val="32"/>
          <w:rFonts w:hint="eastAsia" w:ascii="黑体" w:hAnsi="黑体" w:eastAsia="黑体"/>
          <w:b w:val="0"/>
        </w:rPr>
        <w:t>其他重要事项的情况说明</w:t>
      </w:r>
      <w:bookmarkEnd w:id="74"/>
      <w:bookmarkEnd w:id="75"/>
      <w:bookmarkEnd w:id="76"/>
    </w:p>
    <w:p>
      <w:pPr>
        <w:spacing w:line="600" w:lineRule="exact"/>
        <w:ind w:firstLine="643" w:firstLineChars="200"/>
        <w:outlineLvl w:val="2"/>
        <w:rPr>
          <w:rFonts w:ascii="仿宋" w:hAnsi="仿宋" w:eastAsia="仿宋"/>
          <w:sz w:val="32"/>
          <w:szCs w:val="32"/>
        </w:rPr>
      </w:pPr>
      <w:bookmarkStart w:id="77" w:name="_Toc15377222"/>
      <w:r>
        <w:rPr>
          <w:rFonts w:hint="eastAsia" w:ascii="仿宋" w:hAnsi="仿宋" w:eastAsia="仿宋"/>
          <w:b/>
          <w:sz w:val="32"/>
          <w:szCs w:val="32"/>
        </w:rPr>
        <w:t>（一）机关运行经费支出情况</w:t>
      </w:r>
      <w:bookmarkEnd w:id="7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22年，市发展和改革委员会机关运行经费支出183.91万元，比</w:t>
      </w:r>
      <w:r>
        <w:rPr>
          <w:rFonts w:ascii="仿宋_GB2312" w:eastAsia="仿宋_GB2312"/>
          <w:sz w:val="32"/>
          <w:szCs w:val="32"/>
        </w:rPr>
        <w:t>20</w:t>
      </w:r>
      <w:r>
        <w:rPr>
          <w:rFonts w:hint="eastAsia" w:ascii="仿宋_GB2312" w:eastAsia="仿宋_GB2312"/>
          <w:sz w:val="32"/>
          <w:szCs w:val="32"/>
        </w:rPr>
        <w:t>21年减少120.38万元，下降39.56</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 w:eastAsia="仿宋_GB2312"/>
          <w:color w:val="000000" w:themeColor="text1"/>
          <w:sz w:val="32"/>
          <w:szCs w:val="32"/>
        </w:rPr>
        <w:t>委机关坚持厉行节约的原则，</w:t>
      </w:r>
      <w:r>
        <w:rPr>
          <w:rFonts w:hint="eastAsia" w:ascii="仿宋" w:hAnsi="仿宋" w:eastAsia="仿宋"/>
          <w:color w:val="000000" w:themeColor="text1"/>
          <w:sz w:val="32"/>
          <w:szCs w:val="32"/>
        </w:rPr>
        <w:t>严格落实政府过紧日子要求，</w:t>
      </w:r>
      <w:r>
        <w:rPr>
          <w:rFonts w:hint="eastAsia" w:ascii="仿宋_GB2312" w:hAnsi="仿宋" w:eastAsia="仿宋_GB2312"/>
          <w:color w:val="000000" w:themeColor="text1"/>
          <w:sz w:val="32"/>
          <w:szCs w:val="32"/>
        </w:rPr>
        <w:t>有效控制</w:t>
      </w:r>
      <w:r>
        <w:rPr>
          <w:rFonts w:hint="eastAsia" w:ascii="仿宋_GB2312" w:eastAsia="仿宋_GB2312"/>
          <w:color w:val="000000" w:themeColor="text1"/>
          <w:sz w:val="32"/>
          <w:szCs w:val="32"/>
        </w:rPr>
        <w:t>机关运行经费</w:t>
      </w:r>
      <w:r>
        <w:rPr>
          <w:rFonts w:hint="eastAsia" w:ascii="仿宋_GB2312" w:hAnsi="仿宋" w:eastAsia="仿宋_GB2312"/>
          <w:color w:val="000000" w:themeColor="text1"/>
          <w:sz w:val="32"/>
          <w:szCs w:val="32"/>
        </w:rPr>
        <w:t>支出</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15377223"/>
      <w:r>
        <w:rPr>
          <w:rFonts w:hint="eastAsia" w:ascii="仿宋" w:hAnsi="仿宋" w:eastAsia="仿宋"/>
          <w:b/>
          <w:sz w:val="32"/>
          <w:szCs w:val="32"/>
        </w:rPr>
        <w:t>（二）政府采购支出情况</w:t>
      </w:r>
      <w:bookmarkEnd w:id="7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22年，市发展和改革委员会政府采购支出总额0万元，其中：政府采购货物支出0万元、政府采购工程支出0万元、政府采购服务支出0万元。授予中小企业合同金额万元，占政府采购支出总额的</w:t>
      </w:r>
      <w:r>
        <w:rPr>
          <w:rFonts w:ascii="仿宋_GB2312" w:eastAsia="仿宋_GB2312"/>
          <w:sz w:val="32"/>
          <w:szCs w:val="32"/>
        </w:rPr>
        <w:t>%</w:t>
      </w:r>
      <w:r>
        <w:rPr>
          <w:rFonts w:hint="eastAsia" w:ascii="仿宋_GB2312" w:eastAsia="仿宋_GB2312"/>
          <w:sz w:val="32"/>
          <w:szCs w:val="32"/>
        </w:rPr>
        <w:t>，其中：授予小微企业合同金额万元，占政府采购支出总额的</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9" w:name="_Toc15377224"/>
      <w:r>
        <w:rPr>
          <w:rFonts w:hint="eastAsia" w:ascii="仿宋" w:hAnsi="仿宋" w:eastAsia="仿宋"/>
          <w:b/>
          <w:sz w:val="32"/>
          <w:szCs w:val="32"/>
        </w:rPr>
        <w:t>（三）国有资产占有使用情况</w:t>
      </w:r>
      <w:bookmarkEnd w:id="7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市发展改革委共有车辆5辆，其中：主要领导干部用车0辆、机要通信用车0辆、应急保障用车0辆、特种专业技术用车0辆、其他用车5辆。其他用车主要是用于开展重大项目调研、铁路建设对接、河长制工作、粮食应急物资储备管理检查、</w:t>
      </w:r>
      <w:r>
        <w:rPr>
          <w:rFonts w:ascii="仿宋_GB2312" w:eastAsia="仿宋_GB2312"/>
          <w:sz w:val="32"/>
          <w:szCs w:val="32"/>
        </w:rPr>
        <w:t>竞进拉练选点</w:t>
      </w:r>
      <w:r>
        <w:rPr>
          <w:rFonts w:hint="eastAsia" w:ascii="仿宋_GB2312" w:eastAsia="仿宋_GB2312"/>
          <w:sz w:val="32"/>
          <w:szCs w:val="32"/>
        </w:rPr>
        <w:t>及</w:t>
      </w:r>
      <w:r>
        <w:rPr>
          <w:rFonts w:ascii="仿宋_GB2312" w:eastAsia="仿宋_GB2312"/>
          <w:sz w:val="32"/>
          <w:szCs w:val="32"/>
        </w:rPr>
        <w:t>康养产业论坛筹备等</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十四五钒钛产业发展规划》项目编制、第五届中国康养产业发展和融合发展论坛会务服务费、国家物流枢纽建设专项课题研究编制服务费、关工委工作经费和2021年干部异地体检费等5个项目开展了预算事前绩效评估，对5个项目编制了绩效目标，预算执行过程中，选取2个50万元以上的项目开展绩效监控。</w:t>
      </w:r>
    </w:p>
    <w:p>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攀枝花市发展和改革委员会部门整体（含部门预算项目）绩效自评报告、《十四五钒钛产业发展规划》项目编制、国家物流枢纽建设专项课题研究编制服务等专项预算项目绩效自评报告，其中，攀枝花市发展和改革委员会部门整体（含部门预算项目）绩效自评得分为95分，绩效自评综述：</w:t>
      </w:r>
      <w:r>
        <w:rPr>
          <w:rFonts w:hint="eastAsia" w:eastAsia="仿宋_GB2312"/>
          <w:color w:val="000000" w:themeColor="text1"/>
          <w:sz w:val="32"/>
          <w:szCs w:val="32"/>
        </w:rPr>
        <w:t>市发展改革委</w:t>
      </w:r>
      <w:r>
        <w:rPr>
          <w:rFonts w:eastAsia="仿宋_GB2312"/>
          <w:color w:val="000000" w:themeColor="text1"/>
          <w:sz w:val="32"/>
          <w:szCs w:val="32"/>
        </w:rPr>
        <w:t>紧紧围绕部门预算绩效目标推进各项专项工作，实时监控部门预算执行情况，顺利完成各个项目资金年度绩效目标</w:t>
      </w:r>
      <w:r>
        <w:rPr>
          <w:rFonts w:hint="eastAsia" w:ascii="仿宋_GB2312" w:hAnsi="仿宋_GB2312" w:eastAsia="仿宋_GB2312" w:cs="仿宋_GB2312"/>
          <w:sz w:val="32"/>
          <w:szCs w:val="32"/>
        </w:rPr>
        <w:t>；《十四五钒钛产业发展规划》编制专项预算项目绩效自评得分为94分；国家物流枢纽建设专项课题研究编制服务专项预算项目绩效自评得分为95分，绩效自评报告详见附件。</w:t>
      </w: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31"/>
          <w:rFonts w:ascii="黑体" w:hAnsi="黑体" w:eastAsia="黑体"/>
          <w:b w:val="0"/>
        </w:rPr>
      </w:pPr>
      <w:bookmarkStart w:id="80" w:name="_Toc15396613"/>
      <w:bookmarkStart w:id="81" w:name="_Toc15377225"/>
      <w:bookmarkStart w:id="82" w:name="_Toc30133"/>
      <w:r>
        <w:rPr>
          <w:rFonts w:hint="eastAsia" w:ascii="黑体" w:hAnsi="黑体" w:eastAsia="黑体"/>
          <w:sz w:val="44"/>
          <w:szCs w:val="44"/>
        </w:rPr>
        <w:t>名</w:t>
      </w:r>
      <w:r>
        <w:rPr>
          <w:rStyle w:val="31"/>
          <w:rFonts w:hint="eastAsia" w:ascii="黑体" w:hAnsi="黑体" w:eastAsia="黑体"/>
          <w:b w:val="0"/>
        </w:rPr>
        <w:t>词解释</w:t>
      </w:r>
      <w:bookmarkEnd w:id="80"/>
      <w:bookmarkEnd w:id="81"/>
      <w:bookmarkEnd w:id="82"/>
      <w:bookmarkStart w:id="83" w:name="_Toc15377226"/>
    </w:p>
    <w:p>
      <w:pPr>
        <w:pStyle w:val="2"/>
        <w:spacing w:before="93"/>
      </w:pPr>
    </w:p>
    <w:p>
      <w:pPr>
        <w:spacing w:before="101" w:line="600" w:lineRule="exact"/>
        <w:ind w:left="37" w:right="156" w:firstLine="655"/>
        <w:outlineLvl w:val="1"/>
        <w:rPr>
          <w:rFonts w:ascii="仿宋_GB2312" w:hAnsi="仿宋" w:eastAsia="仿宋_GB2312" w:cs="仿宋"/>
          <w:sz w:val="32"/>
          <w:szCs w:val="32"/>
        </w:rPr>
      </w:pPr>
      <w:bookmarkStart w:id="84" w:name="_Toc6964"/>
      <w:r>
        <w:rPr>
          <w:rFonts w:hint="eastAsia" w:ascii="仿宋_GB2312" w:eastAsia="仿宋_GB2312"/>
          <w:spacing w:val="8"/>
          <w:sz w:val="32"/>
          <w:szCs w:val="32"/>
        </w:rPr>
        <w:t>1.</w:t>
      </w:r>
      <w:r>
        <w:rPr>
          <w:rFonts w:hint="eastAsia" w:ascii="仿宋_GB2312" w:hAnsi="仿宋" w:eastAsia="仿宋_GB2312" w:cs="仿宋"/>
          <w:spacing w:val="8"/>
          <w:sz w:val="32"/>
          <w:szCs w:val="32"/>
        </w:rPr>
        <w:t>财政拨款收入：指单位从同级财政部门取得的财政</w:t>
      </w:r>
      <w:r>
        <w:rPr>
          <w:rFonts w:hint="eastAsia" w:ascii="仿宋_GB2312" w:hAnsi="仿宋" w:eastAsia="仿宋_GB2312" w:cs="仿宋"/>
          <w:spacing w:val="6"/>
          <w:sz w:val="32"/>
          <w:szCs w:val="32"/>
        </w:rPr>
        <w:t>预</w:t>
      </w:r>
      <w:r>
        <w:rPr>
          <w:rFonts w:hint="eastAsia" w:ascii="仿宋_GB2312" w:hAnsi="仿宋" w:eastAsia="仿宋_GB2312" w:cs="仿宋"/>
          <w:spacing w:val="2"/>
          <w:sz w:val="32"/>
          <w:szCs w:val="32"/>
        </w:rPr>
        <w:t>算资金</w:t>
      </w:r>
      <w:r>
        <w:rPr>
          <w:rFonts w:hint="eastAsia" w:ascii="仿宋_GB2312" w:hAnsi="仿宋" w:eastAsia="仿宋_GB2312" w:cs="仿宋"/>
          <w:spacing w:val="1"/>
          <w:sz w:val="32"/>
          <w:szCs w:val="32"/>
        </w:rPr>
        <w:t>。</w:t>
      </w:r>
      <w:bookmarkEnd w:id="84"/>
    </w:p>
    <w:p>
      <w:pPr>
        <w:spacing w:before="2" w:line="600" w:lineRule="exact"/>
        <w:ind w:left="41" w:firstLine="621"/>
        <w:rPr>
          <w:rFonts w:ascii="仿宋_GB2312" w:hAnsi="仿宋" w:eastAsia="仿宋_GB2312" w:cs="仿宋"/>
          <w:sz w:val="32"/>
          <w:szCs w:val="32"/>
        </w:rPr>
      </w:pPr>
      <w:r>
        <w:rPr>
          <w:rFonts w:hint="eastAsia" w:ascii="仿宋_GB2312" w:eastAsia="仿宋_GB2312"/>
          <w:spacing w:val="3"/>
          <w:sz w:val="32"/>
          <w:szCs w:val="32"/>
        </w:rPr>
        <w:t>2.</w:t>
      </w:r>
      <w:r>
        <w:rPr>
          <w:rFonts w:hint="eastAsia" w:ascii="仿宋_GB2312" w:hAnsi="仿宋" w:eastAsia="仿宋_GB2312" w:cs="仿宋"/>
          <w:spacing w:val="3"/>
          <w:sz w:val="32"/>
          <w:szCs w:val="32"/>
        </w:rPr>
        <w:t>其他收入：指单位取得的除上述收入以外的各项收入</w:t>
      </w:r>
      <w:r>
        <w:rPr>
          <w:rFonts w:hint="eastAsia" w:ascii="仿宋_GB2312" w:hAnsi="仿宋" w:eastAsia="仿宋_GB2312" w:cs="仿宋"/>
          <w:sz w:val="32"/>
          <w:szCs w:val="32"/>
        </w:rPr>
        <w:t>。</w:t>
      </w:r>
      <w:r>
        <w:rPr>
          <w:rFonts w:hint="eastAsia" w:ascii="仿宋_GB2312" w:hAnsi="仿宋" w:eastAsia="仿宋_GB2312" w:cs="仿宋"/>
          <w:spacing w:val="7"/>
          <w:sz w:val="32"/>
          <w:szCs w:val="32"/>
        </w:rPr>
        <w:t>主要是利息收入、其他支</w:t>
      </w:r>
      <w:r>
        <w:rPr>
          <w:rFonts w:hint="eastAsia" w:ascii="仿宋_GB2312" w:hAnsi="仿宋" w:eastAsia="仿宋_GB2312" w:cs="仿宋"/>
          <w:spacing w:val="19"/>
          <w:sz w:val="32"/>
          <w:szCs w:val="32"/>
        </w:rPr>
        <w:t>出收入(收入类型)等</w:t>
      </w:r>
      <w:r>
        <w:rPr>
          <w:rFonts w:hint="eastAsia" w:ascii="仿宋_GB2312" w:hAnsi="仿宋" w:eastAsia="仿宋_GB2312" w:cs="仿宋"/>
          <w:spacing w:val="18"/>
          <w:sz w:val="32"/>
          <w:szCs w:val="32"/>
        </w:rPr>
        <w:t>。</w:t>
      </w:r>
    </w:p>
    <w:p>
      <w:pPr>
        <w:spacing w:line="600" w:lineRule="exact"/>
        <w:ind w:left="28" w:right="156" w:firstLine="640"/>
        <w:rPr>
          <w:rFonts w:ascii="仿宋_GB2312" w:hAnsi="仿宋" w:eastAsia="仿宋_GB2312" w:cs="仿宋"/>
          <w:sz w:val="32"/>
          <w:szCs w:val="32"/>
        </w:rPr>
      </w:pPr>
      <w:r>
        <w:rPr>
          <w:rFonts w:hint="eastAsia" w:ascii="仿宋_GB2312" w:eastAsia="仿宋_GB2312"/>
          <w:spacing w:val="9"/>
          <w:sz w:val="32"/>
          <w:szCs w:val="32"/>
        </w:rPr>
        <w:t>3.</w:t>
      </w:r>
      <w:r>
        <w:rPr>
          <w:rFonts w:hint="eastAsia" w:ascii="仿宋_GB2312" w:hAnsi="仿宋" w:eastAsia="仿宋_GB2312" w:cs="仿宋"/>
          <w:spacing w:val="9"/>
          <w:sz w:val="32"/>
          <w:szCs w:val="32"/>
        </w:rPr>
        <w:t>年初结转和结余：指以前年度尚未完成、结转到本</w:t>
      </w:r>
      <w:r>
        <w:rPr>
          <w:rFonts w:hint="eastAsia" w:ascii="仿宋_GB2312" w:hAnsi="仿宋" w:eastAsia="仿宋_GB2312" w:cs="仿宋"/>
          <w:spacing w:val="6"/>
          <w:sz w:val="32"/>
          <w:szCs w:val="32"/>
        </w:rPr>
        <w:t>年</w:t>
      </w:r>
      <w:r>
        <w:rPr>
          <w:rFonts w:hint="eastAsia" w:ascii="仿宋_GB2312" w:hAnsi="仿宋" w:eastAsia="仿宋_GB2312" w:cs="仿宋"/>
          <w:spacing w:val="10"/>
          <w:sz w:val="32"/>
          <w:szCs w:val="32"/>
        </w:rPr>
        <w:t>按</w:t>
      </w:r>
      <w:r>
        <w:rPr>
          <w:rFonts w:hint="eastAsia" w:ascii="仿宋_GB2312" w:hAnsi="仿宋" w:eastAsia="仿宋_GB2312" w:cs="仿宋"/>
          <w:spacing w:val="8"/>
          <w:sz w:val="32"/>
          <w:szCs w:val="32"/>
        </w:rPr>
        <w:t>有关规定继续使用的资金。</w:t>
      </w:r>
    </w:p>
    <w:p>
      <w:pPr>
        <w:spacing w:before="2" w:line="600" w:lineRule="exact"/>
        <w:ind w:left="71" w:right="235" w:firstLine="589"/>
        <w:rPr>
          <w:rFonts w:ascii="仿宋_GB2312" w:hAnsi="仿宋" w:eastAsia="仿宋_GB2312" w:cs="仿宋"/>
          <w:sz w:val="32"/>
          <w:szCs w:val="32"/>
        </w:rPr>
      </w:pPr>
      <w:r>
        <w:rPr>
          <w:rFonts w:hint="eastAsia" w:ascii="仿宋_GB2312" w:eastAsia="仿宋_GB2312"/>
          <w:spacing w:val="18"/>
          <w:sz w:val="32"/>
          <w:szCs w:val="32"/>
        </w:rPr>
        <w:t>4</w:t>
      </w:r>
      <w:r>
        <w:rPr>
          <w:rFonts w:hint="eastAsia" w:ascii="仿宋_GB2312" w:eastAsia="仿宋_GB2312"/>
          <w:spacing w:val="3"/>
          <w:sz w:val="32"/>
          <w:szCs w:val="32"/>
        </w:rPr>
        <w:t>.</w:t>
      </w:r>
      <w:r>
        <w:rPr>
          <w:rFonts w:hint="eastAsia" w:ascii="仿宋_GB2312" w:hAnsi="仿宋" w:eastAsia="仿宋_GB2312" w:cs="仿宋"/>
          <w:spacing w:val="9"/>
          <w:sz w:val="32"/>
          <w:szCs w:val="32"/>
        </w:rPr>
        <w:t>年末结转和结余：指单位按有关规定结转到下年或</w:t>
      </w:r>
      <w:r>
        <w:rPr>
          <w:rFonts w:hint="eastAsia" w:ascii="仿宋_GB2312" w:hAnsi="仿宋" w:eastAsia="仿宋_GB2312" w:cs="仿宋"/>
          <w:spacing w:val="8"/>
          <w:sz w:val="32"/>
          <w:szCs w:val="32"/>
        </w:rPr>
        <w:t>以</w:t>
      </w:r>
      <w:r>
        <w:rPr>
          <w:rFonts w:hint="eastAsia" w:ascii="仿宋_GB2312" w:hAnsi="仿宋" w:eastAsia="仿宋_GB2312" w:cs="仿宋"/>
          <w:spacing w:val="4"/>
          <w:sz w:val="32"/>
          <w:szCs w:val="32"/>
        </w:rPr>
        <w:t>后年度继续使用的资金。</w:t>
      </w:r>
    </w:p>
    <w:p>
      <w:pPr>
        <w:spacing w:before="1" w:line="600" w:lineRule="exact"/>
        <w:ind w:left="40" w:right="89" w:firstLine="630"/>
        <w:rPr>
          <w:rFonts w:ascii="仿宋_GB2312" w:hAnsi="仿宋" w:eastAsia="仿宋_GB2312" w:cs="仿宋"/>
          <w:sz w:val="32"/>
          <w:szCs w:val="32"/>
        </w:rPr>
      </w:pPr>
      <w:r>
        <w:rPr>
          <w:rFonts w:hint="eastAsia" w:ascii="仿宋_GB2312" w:eastAsia="仿宋_GB2312"/>
          <w:spacing w:val="25"/>
          <w:sz w:val="32"/>
          <w:szCs w:val="32"/>
        </w:rPr>
        <w:t>5</w:t>
      </w:r>
      <w:r>
        <w:rPr>
          <w:rFonts w:hint="eastAsia" w:ascii="仿宋_GB2312" w:eastAsia="仿宋_GB2312"/>
          <w:spacing w:val="22"/>
          <w:sz w:val="32"/>
          <w:szCs w:val="32"/>
        </w:rPr>
        <w:t>.</w:t>
      </w:r>
      <w:r>
        <w:rPr>
          <w:rFonts w:hint="eastAsia" w:ascii="仿宋_GB2312" w:hAnsi="仿宋" w:eastAsia="仿宋_GB2312" w:cs="仿宋"/>
          <w:spacing w:val="22"/>
          <w:sz w:val="32"/>
          <w:szCs w:val="32"/>
        </w:rPr>
        <w:t>一般公共服务(类)发展与改革事务(款)行政运行</w:t>
      </w:r>
      <w:r>
        <w:rPr>
          <w:rFonts w:hint="eastAsia" w:ascii="仿宋_GB2312" w:hAnsi="仿宋" w:eastAsia="仿宋_GB2312" w:cs="仿宋"/>
          <w:spacing w:val="20"/>
          <w:sz w:val="32"/>
          <w:szCs w:val="32"/>
        </w:rPr>
        <w:t>(</w:t>
      </w:r>
      <w:r>
        <w:rPr>
          <w:rFonts w:hint="eastAsia" w:ascii="仿宋_GB2312" w:hAnsi="仿宋" w:eastAsia="仿宋_GB2312" w:cs="仿宋"/>
          <w:spacing w:val="17"/>
          <w:sz w:val="32"/>
          <w:szCs w:val="32"/>
        </w:rPr>
        <w:t>项)指行政单位的基本支出；</w:t>
      </w:r>
    </w:p>
    <w:p>
      <w:pPr>
        <w:spacing w:before="1" w:line="600" w:lineRule="exact"/>
        <w:ind w:left="38" w:right="89" w:firstLine="643"/>
        <w:rPr>
          <w:rFonts w:ascii="仿宋_GB2312" w:hAnsi="仿宋" w:eastAsia="仿宋_GB2312" w:cs="仿宋"/>
          <w:sz w:val="32"/>
          <w:szCs w:val="32"/>
        </w:rPr>
      </w:pPr>
      <w:r>
        <w:rPr>
          <w:rFonts w:hint="eastAsia" w:ascii="仿宋_GB2312" w:hAnsi="仿宋" w:eastAsia="仿宋_GB2312" w:cs="仿宋"/>
          <w:spacing w:val="34"/>
          <w:sz w:val="32"/>
          <w:szCs w:val="32"/>
        </w:rPr>
        <w:t>一</w:t>
      </w:r>
      <w:r>
        <w:rPr>
          <w:rFonts w:hint="eastAsia" w:ascii="仿宋_GB2312" w:hAnsi="仿宋" w:eastAsia="仿宋_GB2312" w:cs="仿宋"/>
          <w:spacing w:val="19"/>
          <w:sz w:val="32"/>
          <w:szCs w:val="32"/>
        </w:rPr>
        <w:t>般公共服务(类)发展与改革事务(款)一般行政管</w:t>
      </w:r>
      <w:r>
        <w:rPr>
          <w:rFonts w:hint="eastAsia" w:ascii="仿宋_GB2312" w:hAnsi="仿宋" w:eastAsia="仿宋_GB2312" w:cs="仿宋"/>
          <w:spacing w:val="14"/>
          <w:sz w:val="32"/>
          <w:szCs w:val="32"/>
        </w:rPr>
        <w:t>理事务(项)指行政单位未单独设置项级科目的其他项目</w:t>
      </w:r>
      <w:r>
        <w:rPr>
          <w:rFonts w:hint="eastAsia" w:ascii="仿宋_GB2312" w:hAnsi="仿宋" w:eastAsia="仿宋_GB2312" w:cs="仿宋"/>
          <w:spacing w:val="13"/>
          <w:sz w:val="32"/>
          <w:szCs w:val="32"/>
        </w:rPr>
        <w:t>支</w:t>
      </w:r>
      <w:r>
        <w:rPr>
          <w:rFonts w:hint="eastAsia" w:ascii="仿宋_GB2312" w:hAnsi="仿宋" w:eastAsia="仿宋_GB2312" w:cs="仿宋"/>
          <w:spacing w:val="-8"/>
          <w:sz w:val="32"/>
          <w:szCs w:val="32"/>
        </w:rPr>
        <w:t>出</w:t>
      </w:r>
      <w:r>
        <w:rPr>
          <w:rFonts w:hint="eastAsia" w:ascii="仿宋_GB2312" w:hAnsi="仿宋" w:eastAsia="仿宋_GB2312" w:cs="仿宋"/>
          <w:spacing w:val="-7"/>
          <w:sz w:val="32"/>
          <w:szCs w:val="32"/>
        </w:rPr>
        <w:t>；</w:t>
      </w:r>
    </w:p>
    <w:p>
      <w:pPr>
        <w:spacing w:before="2" w:line="600" w:lineRule="exact"/>
        <w:ind w:left="42" w:right="86" w:firstLine="639"/>
        <w:rPr>
          <w:rFonts w:ascii="仿宋_GB2312" w:hAnsi="仿宋" w:eastAsia="仿宋_GB2312" w:cs="仿宋"/>
          <w:sz w:val="32"/>
          <w:szCs w:val="32"/>
        </w:rPr>
      </w:pPr>
      <w:r>
        <w:rPr>
          <w:rFonts w:hint="eastAsia" w:ascii="仿宋_GB2312" w:hAnsi="仿宋" w:eastAsia="仿宋_GB2312" w:cs="仿宋"/>
          <w:spacing w:val="34"/>
          <w:sz w:val="32"/>
          <w:szCs w:val="32"/>
        </w:rPr>
        <w:t>一</w:t>
      </w:r>
      <w:r>
        <w:rPr>
          <w:rFonts w:hint="eastAsia" w:ascii="仿宋_GB2312" w:hAnsi="仿宋" w:eastAsia="仿宋_GB2312" w:cs="仿宋"/>
          <w:spacing w:val="19"/>
          <w:sz w:val="32"/>
          <w:szCs w:val="32"/>
        </w:rPr>
        <w:t>般公共服务(类)发展与改革事务(款)战略规划与</w:t>
      </w:r>
      <w:r>
        <w:rPr>
          <w:rFonts w:hint="eastAsia" w:ascii="仿宋_GB2312" w:hAnsi="仿宋" w:eastAsia="仿宋_GB2312" w:cs="仿宋"/>
          <w:spacing w:val="18"/>
          <w:sz w:val="32"/>
          <w:szCs w:val="32"/>
        </w:rPr>
        <w:t>实</w:t>
      </w:r>
      <w:r>
        <w:rPr>
          <w:rFonts w:hint="eastAsia" w:ascii="仿宋_GB2312" w:hAnsi="仿宋" w:eastAsia="仿宋_GB2312" w:cs="仿宋"/>
          <w:spacing w:val="12"/>
          <w:sz w:val="32"/>
          <w:szCs w:val="32"/>
        </w:rPr>
        <w:t>施(项)反映拟定并组织实施国民经济和社会发展战略、</w:t>
      </w:r>
      <w:r>
        <w:rPr>
          <w:rFonts w:hint="eastAsia" w:ascii="仿宋_GB2312" w:hAnsi="仿宋" w:eastAsia="仿宋_GB2312" w:cs="仿宋"/>
          <w:spacing w:val="27"/>
          <w:sz w:val="32"/>
          <w:szCs w:val="32"/>
        </w:rPr>
        <w:t>中</w:t>
      </w:r>
      <w:r>
        <w:rPr>
          <w:rFonts w:hint="eastAsia" w:ascii="仿宋_GB2312" w:hAnsi="仿宋" w:eastAsia="仿宋_GB2312" w:cs="仿宋"/>
          <w:spacing w:val="21"/>
          <w:sz w:val="32"/>
          <w:szCs w:val="32"/>
        </w:rPr>
        <w:t>长期规划和年度计划、实施宏观管理与调控等方面的支</w:t>
      </w:r>
      <w:r>
        <w:rPr>
          <w:rFonts w:hint="eastAsia" w:ascii="仿宋_GB2312" w:hAnsi="仿宋" w:eastAsia="仿宋_GB2312" w:cs="仿宋"/>
          <w:spacing w:val="-10"/>
          <w:sz w:val="32"/>
          <w:szCs w:val="32"/>
        </w:rPr>
        <w:t>出</w:t>
      </w:r>
      <w:r>
        <w:rPr>
          <w:rFonts w:hint="eastAsia" w:ascii="仿宋_GB2312" w:hAnsi="仿宋" w:eastAsia="仿宋_GB2312" w:cs="仿宋"/>
          <w:spacing w:val="-9"/>
          <w:sz w:val="32"/>
          <w:szCs w:val="32"/>
        </w:rPr>
        <w:t>；</w:t>
      </w:r>
    </w:p>
    <w:p>
      <w:pPr>
        <w:spacing w:before="1" w:line="600" w:lineRule="exact"/>
        <w:ind w:left="37" w:right="86" w:firstLine="644"/>
        <w:rPr>
          <w:rFonts w:ascii="仿宋_GB2312" w:hAnsi="仿宋" w:eastAsia="仿宋_GB2312" w:cs="仿宋"/>
          <w:sz w:val="32"/>
          <w:szCs w:val="32"/>
        </w:rPr>
      </w:pPr>
      <w:r>
        <w:rPr>
          <w:rFonts w:hint="eastAsia" w:ascii="仿宋_GB2312" w:hAnsi="仿宋" w:eastAsia="仿宋_GB2312" w:cs="仿宋"/>
          <w:spacing w:val="18"/>
          <w:sz w:val="32"/>
          <w:szCs w:val="32"/>
        </w:rPr>
        <w:t>一般</w:t>
      </w:r>
      <w:r>
        <w:rPr>
          <w:rFonts w:hint="eastAsia" w:ascii="仿宋_GB2312" w:hAnsi="仿宋" w:eastAsia="仿宋_GB2312" w:cs="仿宋"/>
          <w:spacing w:val="9"/>
          <w:sz w:val="32"/>
          <w:szCs w:val="32"/>
        </w:rPr>
        <w:t>公共服务(类)发展与改革事务(款)物价管理(项)</w:t>
      </w:r>
      <w:r>
        <w:rPr>
          <w:rFonts w:hint="eastAsia" w:ascii="仿宋_GB2312" w:eastAsia="仿宋_GB2312"/>
          <w:spacing w:val="9"/>
          <w:sz w:val="32"/>
          <w:szCs w:val="32"/>
        </w:rPr>
        <w:t>:</w:t>
      </w:r>
      <w:r>
        <w:rPr>
          <w:rFonts w:hint="eastAsia" w:ascii="仿宋_GB2312" w:hAnsi="仿宋" w:eastAsia="仿宋_GB2312" w:cs="仿宋"/>
          <w:spacing w:val="8"/>
          <w:sz w:val="32"/>
          <w:szCs w:val="32"/>
        </w:rPr>
        <w:t>反</w:t>
      </w:r>
      <w:r>
        <w:rPr>
          <w:rFonts w:hint="eastAsia" w:ascii="仿宋_GB2312" w:hAnsi="仿宋" w:eastAsia="仿宋_GB2312" w:cs="仿宋"/>
          <w:spacing w:val="7"/>
          <w:sz w:val="32"/>
          <w:szCs w:val="32"/>
        </w:rPr>
        <w:t>映物价管理方面的支出；</w:t>
      </w:r>
    </w:p>
    <w:p>
      <w:pPr>
        <w:spacing w:before="1" w:line="600" w:lineRule="exact"/>
        <w:ind w:left="37" w:right="86" w:firstLine="644"/>
        <w:rPr>
          <w:rFonts w:ascii="仿宋_GB2312" w:hAnsi="仿宋" w:eastAsia="仿宋_GB2312" w:cs="仿宋"/>
          <w:sz w:val="32"/>
          <w:szCs w:val="32"/>
        </w:rPr>
      </w:pPr>
      <w:r>
        <w:rPr>
          <w:rFonts w:hint="eastAsia" w:ascii="仿宋_GB2312" w:hAnsi="仿宋" w:eastAsia="仿宋_GB2312" w:cs="仿宋"/>
          <w:spacing w:val="20"/>
          <w:sz w:val="32"/>
          <w:szCs w:val="32"/>
        </w:rPr>
        <w:t>一</w:t>
      </w:r>
      <w:r>
        <w:rPr>
          <w:rFonts w:hint="eastAsia" w:ascii="仿宋_GB2312" w:hAnsi="仿宋" w:eastAsia="仿宋_GB2312" w:cs="仿宋"/>
          <w:spacing w:val="15"/>
          <w:sz w:val="32"/>
          <w:szCs w:val="32"/>
        </w:rPr>
        <w:t>般</w:t>
      </w:r>
      <w:r>
        <w:rPr>
          <w:rFonts w:hint="eastAsia" w:ascii="仿宋_GB2312" w:hAnsi="仿宋" w:eastAsia="仿宋_GB2312" w:cs="仿宋"/>
          <w:spacing w:val="10"/>
          <w:sz w:val="32"/>
          <w:szCs w:val="32"/>
        </w:rPr>
        <w:t>公共服务(类)发展与改革事务(款)事业运行（项）：</w:t>
      </w:r>
      <w:r>
        <w:rPr>
          <w:rFonts w:hint="eastAsia" w:ascii="仿宋_GB2312" w:hAnsi="仿宋" w:eastAsia="仿宋_GB2312" w:cs="仿宋"/>
          <w:spacing w:val="8"/>
          <w:sz w:val="32"/>
          <w:szCs w:val="32"/>
        </w:rPr>
        <w:t>反</w:t>
      </w:r>
      <w:r>
        <w:rPr>
          <w:rFonts w:hint="eastAsia" w:ascii="仿宋_GB2312" w:hAnsi="仿宋" w:eastAsia="仿宋_GB2312" w:cs="仿宋"/>
          <w:spacing w:val="7"/>
          <w:sz w:val="32"/>
          <w:szCs w:val="32"/>
        </w:rPr>
        <w:t>映事业单位的基本支出；</w:t>
      </w:r>
    </w:p>
    <w:p>
      <w:pPr>
        <w:spacing w:before="221" w:line="600" w:lineRule="exact"/>
        <w:ind w:left="53" w:right="8" w:firstLine="628"/>
        <w:rPr>
          <w:rFonts w:ascii="仿宋_GB2312" w:hAnsi="仿宋" w:eastAsia="仿宋_GB2312" w:cs="仿宋"/>
          <w:sz w:val="32"/>
          <w:szCs w:val="32"/>
        </w:rPr>
      </w:pPr>
      <w:r>
        <w:rPr>
          <w:rFonts w:hint="eastAsia" w:ascii="仿宋_GB2312" w:hAnsi="仿宋" w:eastAsia="仿宋_GB2312" w:cs="仿宋"/>
          <w:spacing w:val="34"/>
          <w:sz w:val="32"/>
          <w:szCs w:val="32"/>
        </w:rPr>
        <w:t>一</w:t>
      </w:r>
      <w:r>
        <w:rPr>
          <w:rFonts w:hint="eastAsia" w:ascii="仿宋_GB2312" w:hAnsi="仿宋" w:eastAsia="仿宋_GB2312" w:cs="仿宋"/>
          <w:spacing w:val="19"/>
          <w:sz w:val="32"/>
          <w:szCs w:val="32"/>
        </w:rPr>
        <w:t>般公共服务(类)发展与改革事务(款)其他发展与</w:t>
      </w:r>
      <w:r>
        <w:rPr>
          <w:rFonts w:hint="eastAsia" w:ascii="仿宋_GB2312" w:hAnsi="仿宋" w:eastAsia="仿宋_GB2312" w:cs="仿宋"/>
          <w:spacing w:val="15"/>
          <w:sz w:val="32"/>
          <w:szCs w:val="32"/>
        </w:rPr>
        <w:t>改革事务支出(项)</w:t>
      </w:r>
      <w:r>
        <w:rPr>
          <w:rFonts w:hint="eastAsia" w:ascii="仿宋_GB2312" w:eastAsia="仿宋_GB2312"/>
          <w:spacing w:val="15"/>
          <w:sz w:val="32"/>
          <w:szCs w:val="32"/>
        </w:rPr>
        <w:t>:</w:t>
      </w:r>
      <w:r>
        <w:rPr>
          <w:rFonts w:hint="eastAsia" w:ascii="仿宋_GB2312" w:hAnsi="仿宋" w:eastAsia="仿宋_GB2312" w:cs="仿宋"/>
          <w:spacing w:val="15"/>
          <w:sz w:val="32"/>
          <w:szCs w:val="32"/>
        </w:rPr>
        <w:t>反映除上述发展与改革事务项目以</w:t>
      </w:r>
      <w:r>
        <w:rPr>
          <w:rFonts w:hint="eastAsia" w:ascii="仿宋_GB2312" w:hAnsi="仿宋" w:eastAsia="仿宋_GB2312" w:cs="仿宋"/>
          <w:spacing w:val="11"/>
          <w:sz w:val="32"/>
          <w:szCs w:val="32"/>
        </w:rPr>
        <w:t>外</w:t>
      </w:r>
      <w:r>
        <w:rPr>
          <w:rFonts w:hint="eastAsia" w:ascii="仿宋_GB2312" w:hAnsi="仿宋" w:eastAsia="仿宋_GB2312" w:cs="仿宋"/>
          <w:spacing w:val="9"/>
          <w:sz w:val="32"/>
          <w:szCs w:val="32"/>
        </w:rPr>
        <w:t>的</w:t>
      </w:r>
      <w:r>
        <w:rPr>
          <w:rFonts w:hint="eastAsia" w:ascii="仿宋_GB2312" w:hAnsi="仿宋" w:eastAsia="仿宋_GB2312" w:cs="仿宋"/>
          <w:spacing w:val="6"/>
          <w:sz w:val="32"/>
          <w:szCs w:val="32"/>
        </w:rPr>
        <w:t>其他发展与改革事务支出；</w:t>
      </w:r>
    </w:p>
    <w:p>
      <w:pPr>
        <w:spacing w:before="2" w:line="600" w:lineRule="exact"/>
        <w:ind w:left="36" w:right="8" w:firstLine="645"/>
        <w:rPr>
          <w:rFonts w:ascii="仿宋_GB2312" w:hAnsi="仿宋" w:eastAsia="仿宋_GB2312" w:cs="仿宋"/>
          <w:sz w:val="32"/>
          <w:szCs w:val="32"/>
        </w:rPr>
      </w:pPr>
      <w:r>
        <w:rPr>
          <w:rFonts w:hint="eastAsia" w:ascii="仿宋_GB2312" w:hAnsi="仿宋" w:eastAsia="仿宋_GB2312" w:cs="仿宋"/>
          <w:spacing w:val="34"/>
          <w:sz w:val="32"/>
          <w:szCs w:val="32"/>
        </w:rPr>
        <w:t>一</w:t>
      </w:r>
      <w:r>
        <w:rPr>
          <w:rFonts w:hint="eastAsia" w:ascii="仿宋_GB2312" w:hAnsi="仿宋" w:eastAsia="仿宋_GB2312" w:cs="仿宋"/>
          <w:spacing w:val="19"/>
          <w:sz w:val="32"/>
          <w:szCs w:val="32"/>
        </w:rPr>
        <w:t>般公共服务(类)人力资源事务(款)其他人力资源</w:t>
      </w:r>
      <w:r>
        <w:rPr>
          <w:rFonts w:hint="eastAsia" w:ascii="仿宋_GB2312" w:hAnsi="仿宋" w:eastAsia="仿宋_GB2312" w:cs="仿宋"/>
          <w:spacing w:val="17"/>
          <w:sz w:val="32"/>
          <w:szCs w:val="32"/>
        </w:rPr>
        <w:t>事</w:t>
      </w:r>
      <w:r>
        <w:rPr>
          <w:rFonts w:hint="eastAsia" w:ascii="仿宋_GB2312" w:hAnsi="仿宋" w:eastAsia="仿宋_GB2312" w:cs="仿宋"/>
          <w:spacing w:val="16"/>
          <w:sz w:val="32"/>
          <w:szCs w:val="32"/>
        </w:rPr>
        <w:t>务(项)</w:t>
      </w:r>
      <w:r>
        <w:rPr>
          <w:rFonts w:hint="eastAsia" w:ascii="仿宋_GB2312" w:eastAsia="仿宋_GB2312"/>
          <w:spacing w:val="16"/>
          <w:sz w:val="32"/>
          <w:szCs w:val="32"/>
        </w:rPr>
        <w:t>:</w:t>
      </w:r>
      <w:r>
        <w:rPr>
          <w:rFonts w:hint="eastAsia" w:ascii="仿宋_GB2312" w:hAnsi="仿宋" w:eastAsia="仿宋_GB2312" w:cs="仿宋"/>
          <w:spacing w:val="16"/>
          <w:sz w:val="32"/>
          <w:szCs w:val="32"/>
        </w:rPr>
        <w:t>反映其他人力资源事务方面的支出</w:t>
      </w:r>
      <w:r>
        <w:rPr>
          <w:rFonts w:hint="eastAsia" w:ascii="仿宋_GB2312" w:hAnsi="仿宋" w:eastAsia="仿宋_GB2312" w:cs="仿宋"/>
          <w:spacing w:val="-1"/>
          <w:sz w:val="32"/>
          <w:szCs w:val="32"/>
        </w:rPr>
        <w:t>；</w:t>
      </w:r>
    </w:p>
    <w:p>
      <w:pPr>
        <w:spacing w:before="2" w:line="600" w:lineRule="exact"/>
        <w:ind w:left="40" w:right="5" w:firstLine="641"/>
        <w:rPr>
          <w:rFonts w:ascii="仿宋_GB2312" w:hAnsi="仿宋" w:eastAsia="仿宋_GB2312" w:cs="仿宋"/>
          <w:sz w:val="32"/>
          <w:szCs w:val="32"/>
        </w:rPr>
      </w:pPr>
      <w:r>
        <w:rPr>
          <w:rFonts w:hint="eastAsia" w:ascii="仿宋_GB2312" w:hAnsi="仿宋" w:eastAsia="仿宋_GB2312" w:cs="仿宋"/>
          <w:spacing w:val="34"/>
          <w:sz w:val="32"/>
          <w:szCs w:val="32"/>
        </w:rPr>
        <w:t>一</w:t>
      </w:r>
      <w:r>
        <w:rPr>
          <w:rFonts w:hint="eastAsia" w:ascii="仿宋_GB2312" w:hAnsi="仿宋" w:eastAsia="仿宋_GB2312" w:cs="仿宋"/>
          <w:spacing w:val="19"/>
          <w:sz w:val="32"/>
          <w:szCs w:val="32"/>
        </w:rPr>
        <w:t>般公共服务(类)组织事务(款)其他组织事务支出</w:t>
      </w:r>
      <w:r>
        <w:rPr>
          <w:rFonts w:hint="eastAsia" w:ascii="仿宋_GB2312" w:hAnsi="仿宋" w:eastAsia="仿宋_GB2312" w:cs="仿宋"/>
          <w:spacing w:val="39"/>
          <w:sz w:val="32"/>
          <w:szCs w:val="32"/>
        </w:rPr>
        <w:t>(</w:t>
      </w:r>
      <w:r>
        <w:rPr>
          <w:rFonts w:hint="eastAsia" w:ascii="仿宋_GB2312" w:hAnsi="仿宋" w:eastAsia="仿宋_GB2312" w:cs="仿宋"/>
          <w:spacing w:val="20"/>
          <w:sz w:val="32"/>
          <w:szCs w:val="32"/>
        </w:rPr>
        <w:t>项)</w:t>
      </w:r>
      <w:r>
        <w:rPr>
          <w:rFonts w:hint="eastAsia" w:ascii="仿宋_GB2312" w:eastAsia="仿宋_GB2312"/>
          <w:spacing w:val="20"/>
          <w:sz w:val="32"/>
          <w:szCs w:val="32"/>
        </w:rPr>
        <w:t>:</w:t>
      </w:r>
      <w:r>
        <w:rPr>
          <w:rFonts w:hint="eastAsia" w:ascii="仿宋_GB2312" w:hAnsi="仿宋" w:eastAsia="仿宋_GB2312" w:cs="仿宋"/>
          <w:spacing w:val="20"/>
          <w:sz w:val="32"/>
          <w:szCs w:val="32"/>
        </w:rPr>
        <w:t>反映其他用于中国共产党组织部门的事务支出</w:t>
      </w:r>
      <w:r>
        <w:rPr>
          <w:rFonts w:hint="eastAsia" w:ascii="仿宋_GB2312" w:hAnsi="仿宋" w:eastAsia="仿宋_GB2312" w:cs="仿宋"/>
          <w:spacing w:val="1"/>
          <w:sz w:val="32"/>
          <w:szCs w:val="32"/>
        </w:rPr>
        <w:t>。</w:t>
      </w:r>
    </w:p>
    <w:p>
      <w:pPr>
        <w:spacing w:before="1" w:line="600" w:lineRule="exact"/>
        <w:ind w:left="44" w:right="6" w:firstLine="624"/>
        <w:rPr>
          <w:rFonts w:ascii="仿宋_GB2312" w:hAnsi="仿宋" w:eastAsia="仿宋_GB2312" w:cs="仿宋"/>
          <w:sz w:val="32"/>
          <w:szCs w:val="32"/>
        </w:rPr>
      </w:pPr>
      <w:r>
        <w:rPr>
          <w:rFonts w:hint="eastAsia" w:ascii="仿宋_GB2312" w:eastAsia="仿宋_GB2312"/>
          <w:spacing w:val="27"/>
          <w:sz w:val="32"/>
          <w:szCs w:val="32"/>
        </w:rPr>
        <w:t>6</w:t>
      </w:r>
      <w:r>
        <w:rPr>
          <w:rFonts w:hint="eastAsia" w:ascii="仿宋_GB2312" w:eastAsia="仿宋_GB2312"/>
          <w:spacing w:val="22"/>
          <w:sz w:val="32"/>
          <w:szCs w:val="32"/>
        </w:rPr>
        <w:t>.</w:t>
      </w:r>
      <w:r>
        <w:rPr>
          <w:rFonts w:hint="eastAsia" w:ascii="仿宋_GB2312" w:hAnsi="仿宋" w:eastAsia="仿宋_GB2312" w:cs="仿宋"/>
          <w:spacing w:val="22"/>
          <w:sz w:val="32"/>
          <w:szCs w:val="32"/>
        </w:rPr>
        <w:t>社会保障和就业(类)民政管理事务(款)其他民政</w:t>
      </w:r>
      <w:r>
        <w:rPr>
          <w:rFonts w:hint="eastAsia" w:ascii="仿宋_GB2312" w:hAnsi="仿宋" w:eastAsia="仿宋_GB2312" w:cs="仿宋"/>
          <w:spacing w:val="17"/>
          <w:sz w:val="32"/>
          <w:szCs w:val="32"/>
        </w:rPr>
        <w:t>管</w:t>
      </w:r>
      <w:r>
        <w:rPr>
          <w:rFonts w:hint="eastAsia" w:ascii="仿宋_GB2312" w:hAnsi="仿宋" w:eastAsia="仿宋_GB2312" w:cs="仿宋"/>
          <w:spacing w:val="10"/>
          <w:sz w:val="32"/>
          <w:szCs w:val="32"/>
        </w:rPr>
        <w:t>理事务支出(项)</w:t>
      </w:r>
      <w:r>
        <w:rPr>
          <w:rFonts w:hint="eastAsia" w:ascii="仿宋_GB2312" w:eastAsia="仿宋_GB2312"/>
          <w:spacing w:val="10"/>
          <w:sz w:val="32"/>
          <w:szCs w:val="32"/>
        </w:rPr>
        <w:t>:</w:t>
      </w:r>
      <w:r>
        <w:rPr>
          <w:rFonts w:hint="eastAsia" w:ascii="仿宋_GB2312" w:hAnsi="仿宋" w:eastAsia="仿宋_GB2312" w:cs="仿宋"/>
          <w:spacing w:val="10"/>
          <w:sz w:val="32"/>
          <w:szCs w:val="32"/>
        </w:rPr>
        <w:t>反映开展社会救助、社会福利、社会事</w:t>
      </w:r>
      <w:r>
        <w:rPr>
          <w:rFonts w:hint="eastAsia" w:ascii="仿宋_GB2312" w:hAnsi="仿宋" w:eastAsia="仿宋_GB2312" w:cs="仿宋"/>
          <w:spacing w:val="24"/>
          <w:sz w:val="32"/>
          <w:szCs w:val="32"/>
        </w:rPr>
        <w:t>务</w:t>
      </w:r>
      <w:r>
        <w:rPr>
          <w:rFonts w:hint="eastAsia" w:ascii="仿宋_GB2312" w:hAnsi="仿宋" w:eastAsia="仿宋_GB2312" w:cs="仿宋"/>
          <w:spacing w:val="13"/>
          <w:sz w:val="32"/>
          <w:szCs w:val="32"/>
        </w:rPr>
        <w:t>、信息化建设等方面的支出；</w:t>
      </w:r>
    </w:p>
    <w:p>
      <w:pPr>
        <w:spacing w:before="1" w:line="600" w:lineRule="exact"/>
        <w:ind w:left="37" w:right="8" w:firstLine="639"/>
        <w:rPr>
          <w:rFonts w:ascii="仿宋_GB2312" w:hAnsi="仿宋" w:eastAsia="仿宋_GB2312" w:cs="仿宋"/>
          <w:sz w:val="32"/>
          <w:szCs w:val="32"/>
        </w:rPr>
      </w:pPr>
      <w:r>
        <w:rPr>
          <w:rFonts w:hint="eastAsia" w:ascii="仿宋_GB2312" w:hAnsi="仿宋" w:eastAsia="仿宋_GB2312" w:cs="仿宋"/>
          <w:spacing w:val="38"/>
          <w:sz w:val="32"/>
          <w:szCs w:val="32"/>
        </w:rPr>
        <w:t>社</w:t>
      </w:r>
      <w:r>
        <w:rPr>
          <w:rFonts w:hint="eastAsia" w:ascii="仿宋_GB2312" w:hAnsi="仿宋" w:eastAsia="仿宋_GB2312" w:cs="仿宋"/>
          <w:spacing w:val="20"/>
          <w:sz w:val="32"/>
          <w:szCs w:val="32"/>
        </w:rPr>
        <w:t>会</w:t>
      </w:r>
      <w:r>
        <w:rPr>
          <w:rFonts w:hint="eastAsia" w:ascii="仿宋_GB2312" w:hAnsi="仿宋" w:eastAsia="仿宋_GB2312" w:cs="仿宋"/>
          <w:spacing w:val="19"/>
          <w:sz w:val="32"/>
          <w:szCs w:val="32"/>
        </w:rPr>
        <w:t>保障和就业(类)行政事业单位养老支出(款)行</w:t>
      </w:r>
      <w:r>
        <w:rPr>
          <w:rFonts w:hint="eastAsia" w:ascii="仿宋_GB2312" w:hAnsi="仿宋" w:eastAsia="仿宋_GB2312" w:cs="仿宋"/>
          <w:spacing w:val="14"/>
          <w:sz w:val="32"/>
          <w:szCs w:val="32"/>
        </w:rPr>
        <w:t>政单位离退休(项)</w:t>
      </w:r>
      <w:r>
        <w:rPr>
          <w:rFonts w:hint="eastAsia" w:ascii="仿宋_GB2312" w:eastAsia="仿宋_GB2312"/>
          <w:spacing w:val="14"/>
          <w:sz w:val="32"/>
          <w:szCs w:val="32"/>
        </w:rPr>
        <w:t>:</w:t>
      </w:r>
      <w:r>
        <w:rPr>
          <w:rFonts w:hint="eastAsia" w:ascii="仿宋_GB2312" w:hAnsi="仿宋" w:eastAsia="仿宋_GB2312" w:cs="仿宋"/>
          <w:spacing w:val="14"/>
          <w:sz w:val="32"/>
          <w:szCs w:val="32"/>
        </w:rPr>
        <w:t>反映行政单位开支的离退休经费</w:t>
      </w:r>
      <w:r>
        <w:rPr>
          <w:rFonts w:hint="eastAsia" w:ascii="仿宋_GB2312" w:hAnsi="仿宋" w:eastAsia="仿宋_GB2312" w:cs="仿宋"/>
          <w:spacing w:val="13"/>
          <w:sz w:val="32"/>
          <w:szCs w:val="32"/>
        </w:rPr>
        <w:t>；</w:t>
      </w:r>
    </w:p>
    <w:p>
      <w:pPr>
        <w:spacing w:before="1" w:line="600" w:lineRule="exact"/>
        <w:ind w:left="42" w:right="8" w:firstLine="634"/>
        <w:rPr>
          <w:rFonts w:ascii="仿宋_GB2312" w:hAnsi="仿宋" w:eastAsia="仿宋_GB2312" w:cs="仿宋"/>
          <w:sz w:val="32"/>
          <w:szCs w:val="32"/>
        </w:rPr>
      </w:pPr>
      <w:r>
        <w:rPr>
          <w:rFonts w:hint="eastAsia" w:ascii="仿宋_GB2312" w:hAnsi="仿宋" w:eastAsia="仿宋_GB2312" w:cs="仿宋"/>
          <w:spacing w:val="38"/>
          <w:sz w:val="32"/>
          <w:szCs w:val="32"/>
        </w:rPr>
        <w:t>社</w:t>
      </w:r>
      <w:r>
        <w:rPr>
          <w:rFonts w:hint="eastAsia" w:ascii="仿宋_GB2312" w:hAnsi="仿宋" w:eastAsia="仿宋_GB2312" w:cs="仿宋"/>
          <w:spacing w:val="20"/>
          <w:sz w:val="32"/>
          <w:szCs w:val="32"/>
        </w:rPr>
        <w:t>会</w:t>
      </w:r>
      <w:r>
        <w:rPr>
          <w:rFonts w:hint="eastAsia" w:ascii="仿宋_GB2312" w:hAnsi="仿宋" w:eastAsia="仿宋_GB2312" w:cs="仿宋"/>
          <w:spacing w:val="19"/>
          <w:sz w:val="32"/>
          <w:szCs w:val="32"/>
        </w:rPr>
        <w:t>保障和就业(类)行政事业单位养老支出(款)机</w:t>
      </w:r>
      <w:r>
        <w:rPr>
          <w:rFonts w:hint="eastAsia" w:ascii="仿宋_GB2312" w:hAnsi="仿宋" w:eastAsia="仿宋_GB2312" w:cs="仿宋"/>
          <w:spacing w:val="17"/>
          <w:sz w:val="32"/>
          <w:szCs w:val="32"/>
        </w:rPr>
        <w:t>关</w:t>
      </w:r>
      <w:r>
        <w:rPr>
          <w:rFonts w:hint="eastAsia" w:ascii="仿宋_GB2312" w:hAnsi="仿宋" w:eastAsia="仿宋_GB2312" w:cs="仿宋"/>
          <w:spacing w:val="10"/>
          <w:sz w:val="32"/>
          <w:szCs w:val="32"/>
        </w:rPr>
        <w:t>事业单位基本养老保险缴费支出(项)</w:t>
      </w:r>
      <w:r>
        <w:rPr>
          <w:rFonts w:hint="eastAsia" w:ascii="仿宋_GB2312" w:eastAsia="仿宋_GB2312"/>
          <w:spacing w:val="10"/>
          <w:sz w:val="32"/>
          <w:szCs w:val="32"/>
        </w:rPr>
        <w:t>:</w:t>
      </w:r>
      <w:r>
        <w:rPr>
          <w:rFonts w:hint="eastAsia" w:ascii="仿宋_GB2312" w:hAnsi="仿宋" w:eastAsia="仿宋_GB2312" w:cs="仿宋"/>
          <w:spacing w:val="10"/>
          <w:sz w:val="32"/>
          <w:szCs w:val="32"/>
        </w:rPr>
        <w:t>反映机关事业单位</w:t>
      </w:r>
      <w:r>
        <w:rPr>
          <w:rFonts w:hint="eastAsia" w:ascii="仿宋_GB2312" w:hAnsi="仿宋" w:eastAsia="仿宋_GB2312" w:cs="仿宋"/>
          <w:spacing w:val="16"/>
          <w:sz w:val="32"/>
          <w:szCs w:val="32"/>
        </w:rPr>
        <w:t>实</w:t>
      </w:r>
      <w:r>
        <w:rPr>
          <w:rFonts w:hint="eastAsia" w:ascii="仿宋_GB2312" w:hAnsi="仿宋" w:eastAsia="仿宋_GB2312" w:cs="仿宋"/>
          <w:spacing w:val="8"/>
          <w:sz w:val="32"/>
          <w:szCs w:val="32"/>
        </w:rPr>
        <w:t>施养老保险制度由单位缴纳的基本养老保险费支出；</w:t>
      </w:r>
    </w:p>
    <w:p>
      <w:pPr>
        <w:spacing w:before="1" w:line="600" w:lineRule="exact"/>
        <w:ind w:left="37" w:right="8" w:firstLine="639"/>
        <w:rPr>
          <w:rFonts w:ascii="仿宋_GB2312" w:hAnsi="仿宋" w:eastAsia="仿宋_GB2312" w:cs="仿宋"/>
          <w:spacing w:val="8"/>
          <w:sz w:val="32"/>
          <w:szCs w:val="32"/>
        </w:rPr>
      </w:pPr>
      <w:r>
        <w:rPr>
          <w:rFonts w:hint="eastAsia" w:ascii="仿宋_GB2312" w:hAnsi="仿宋" w:eastAsia="仿宋_GB2312" w:cs="仿宋"/>
          <w:spacing w:val="21"/>
          <w:sz w:val="32"/>
          <w:szCs w:val="32"/>
        </w:rPr>
        <w:t>社会保障和就业(类)抚恤(款)死亡抚恤(项)</w:t>
      </w:r>
      <w:r>
        <w:rPr>
          <w:rFonts w:hint="eastAsia" w:ascii="仿宋_GB2312" w:eastAsia="仿宋_GB2312"/>
          <w:spacing w:val="21"/>
          <w:sz w:val="32"/>
          <w:szCs w:val="32"/>
        </w:rPr>
        <w:t>:</w:t>
      </w:r>
      <w:r>
        <w:rPr>
          <w:rFonts w:hint="eastAsia" w:ascii="仿宋_GB2312" w:hAnsi="仿宋" w:eastAsia="仿宋_GB2312" w:cs="仿宋"/>
          <w:spacing w:val="21"/>
          <w:sz w:val="32"/>
          <w:szCs w:val="32"/>
        </w:rPr>
        <w:t>反</w:t>
      </w:r>
      <w:r>
        <w:rPr>
          <w:rFonts w:hint="eastAsia" w:ascii="仿宋_GB2312" w:hAnsi="仿宋" w:eastAsia="仿宋_GB2312" w:cs="仿宋"/>
          <w:spacing w:val="16"/>
          <w:sz w:val="32"/>
          <w:szCs w:val="32"/>
        </w:rPr>
        <w:t>映病</w:t>
      </w:r>
      <w:r>
        <w:rPr>
          <w:rFonts w:hint="eastAsia" w:ascii="仿宋_GB2312" w:hAnsi="仿宋" w:eastAsia="仿宋_GB2312" w:cs="仿宋"/>
          <w:spacing w:val="10"/>
          <w:sz w:val="32"/>
          <w:szCs w:val="32"/>
        </w:rPr>
        <w:t>故</w:t>
      </w:r>
      <w:r>
        <w:rPr>
          <w:rFonts w:hint="eastAsia" w:ascii="仿宋_GB2312" w:hAnsi="仿宋" w:eastAsia="仿宋_GB2312" w:cs="仿宋"/>
          <w:spacing w:val="8"/>
          <w:sz w:val="32"/>
          <w:szCs w:val="32"/>
        </w:rPr>
        <w:t>人员家属一次性和定期抚恤金以及丧葬抚恤费；</w:t>
      </w:r>
    </w:p>
    <w:p>
      <w:pPr>
        <w:spacing w:before="1" w:line="600" w:lineRule="exact"/>
        <w:ind w:left="37" w:right="8" w:firstLine="639"/>
        <w:rPr>
          <w:rFonts w:ascii="仿宋_GB2312" w:hAnsi="仿宋" w:eastAsia="仿宋_GB2312" w:cs="仿宋"/>
          <w:spacing w:val="8"/>
          <w:sz w:val="32"/>
          <w:szCs w:val="32"/>
        </w:rPr>
      </w:pPr>
      <w:r>
        <w:rPr>
          <w:rFonts w:hint="eastAsia" w:ascii="仿宋_GB2312" w:hAnsi="仿宋" w:eastAsia="仿宋_GB2312" w:cs="仿宋"/>
          <w:spacing w:val="21"/>
          <w:sz w:val="32"/>
          <w:szCs w:val="32"/>
        </w:rPr>
        <w:t>社会保障和就业(类)社会福利(款)儿童福利(项)</w:t>
      </w:r>
      <w:r>
        <w:rPr>
          <w:rFonts w:hint="eastAsia" w:ascii="仿宋_GB2312" w:eastAsia="仿宋_GB2312"/>
          <w:spacing w:val="18"/>
          <w:sz w:val="32"/>
          <w:szCs w:val="32"/>
        </w:rPr>
        <w:t>:</w:t>
      </w:r>
      <w:r>
        <w:rPr>
          <w:rFonts w:hint="eastAsia" w:ascii="仿宋_GB2312" w:hAnsi="仿宋" w:eastAsia="仿宋_GB2312" w:cs="仿宋"/>
          <w:spacing w:val="8"/>
          <w:sz w:val="32"/>
          <w:szCs w:val="32"/>
        </w:rPr>
        <w:t>反映对儿童提供福利服务方面的支出。</w:t>
      </w:r>
    </w:p>
    <w:p>
      <w:pPr>
        <w:spacing w:before="1" w:line="600" w:lineRule="exact"/>
        <w:ind w:left="37" w:right="8" w:firstLine="639"/>
        <w:rPr>
          <w:rFonts w:ascii="仿宋_GB2312" w:hAnsi="仿宋" w:eastAsia="仿宋_GB2312" w:cs="仿宋"/>
          <w:sz w:val="32"/>
          <w:szCs w:val="32"/>
        </w:rPr>
      </w:pPr>
      <w:r>
        <w:rPr>
          <w:rFonts w:hint="eastAsia" w:ascii="仿宋_GB2312" w:hAnsi="仿宋" w:eastAsia="仿宋_GB2312" w:cs="仿宋"/>
          <w:spacing w:val="8"/>
          <w:sz w:val="32"/>
          <w:szCs w:val="32"/>
        </w:rPr>
        <w:t>7.住房保障支出(类)住房改革支出(款)住房公积金(项):反映行政事业单位按人力资源和社会保障部、财政部规定的基本工资和津贴补贴以及规定比例为职工缴纳的住房公积金；</w:t>
      </w:r>
    </w:p>
    <w:p>
      <w:pPr>
        <w:spacing w:line="600" w:lineRule="exact"/>
        <w:ind w:left="675"/>
        <w:outlineLvl w:val="1"/>
        <w:rPr>
          <w:rFonts w:ascii="仿宋_GB2312" w:hAnsi="仿宋" w:eastAsia="仿宋_GB2312" w:cs="仿宋"/>
          <w:spacing w:val="8"/>
          <w:sz w:val="32"/>
          <w:szCs w:val="32"/>
        </w:rPr>
      </w:pPr>
      <w:bookmarkStart w:id="85" w:name="_Toc882"/>
      <w:r>
        <w:rPr>
          <w:rFonts w:hint="eastAsia" w:ascii="仿宋_GB2312" w:hAnsi="仿宋" w:eastAsia="仿宋_GB2312" w:cs="仿宋"/>
          <w:spacing w:val="8"/>
          <w:sz w:val="32"/>
          <w:szCs w:val="32"/>
        </w:rPr>
        <w:t>8.粮油物资储备支出(类)粮油储备(款)储备粮(油)</w:t>
      </w:r>
      <w:bookmarkEnd w:id="85"/>
    </w:p>
    <w:p>
      <w:pPr>
        <w:spacing w:before="1" w:line="600" w:lineRule="exact"/>
        <w:ind w:left="41"/>
        <w:rPr>
          <w:rFonts w:ascii="仿宋_GB2312" w:hAnsi="仿宋" w:eastAsia="仿宋_GB2312" w:cs="仿宋"/>
          <w:spacing w:val="8"/>
          <w:sz w:val="32"/>
          <w:szCs w:val="32"/>
        </w:rPr>
      </w:pPr>
      <w:r>
        <w:rPr>
          <w:rFonts w:hint="eastAsia" w:ascii="仿宋_GB2312" w:hAnsi="仿宋" w:eastAsia="仿宋_GB2312" w:cs="仿宋"/>
          <w:spacing w:val="8"/>
          <w:sz w:val="32"/>
          <w:szCs w:val="32"/>
        </w:rPr>
        <w:t>库建设(项):反映储备粮油仓储设施建设方面的支出。</w:t>
      </w:r>
    </w:p>
    <w:p>
      <w:pPr>
        <w:spacing w:before="1" w:line="600" w:lineRule="exact"/>
        <w:ind w:left="41"/>
        <w:rPr>
          <w:rFonts w:ascii="仿宋_GB2312" w:hAnsi="仿宋" w:eastAsia="仿宋_GB2312" w:cs="仿宋"/>
          <w:spacing w:val="8"/>
          <w:sz w:val="32"/>
          <w:szCs w:val="32"/>
        </w:rPr>
      </w:pPr>
      <w:r>
        <w:rPr>
          <w:rFonts w:hint="eastAsia" w:ascii="仿宋_GB2312" w:hAnsi="仿宋" w:eastAsia="仿宋_GB2312" w:cs="仿宋"/>
          <w:spacing w:val="8"/>
          <w:sz w:val="32"/>
          <w:szCs w:val="32"/>
        </w:rPr>
        <w:t>(解释本部门决算报表中全部功能分类科目至项级，请</w:t>
      </w:r>
    </w:p>
    <w:p>
      <w:pPr>
        <w:spacing w:before="1" w:line="600" w:lineRule="exact"/>
        <w:ind w:left="41"/>
        <w:rPr>
          <w:rFonts w:ascii="仿宋_GB2312" w:hAnsi="仿宋" w:eastAsia="仿宋_GB2312" w:cs="仿宋"/>
          <w:spacing w:val="8"/>
          <w:sz w:val="32"/>
          <w:szCs w:val="32"/>
        </w:rPr>
      </w:pPr>
      <w:r>
        <w:rPr>
          <w:rFonts w:hint="eastAsia" w:ascii="仿宋_GB2312" w:hAnsi="仿宋" w:eastAsia="仿宋_GB2312" w:cs="仿宋"/>
          <w:spacing w:val="8"/>
          <w:sz w:val="32"/>
          <w:szCs w:val="32"/>
        </w:rPr>
        <w:t>参照《2020年政府收支分类科目》增减内容。)</w:t>
      </w:r>
    </w:p>
    <w:p>
      <w:pPr>
        <w:spacing w:before="1" w:line="600" w:lineRule="exact"/>
        <w:ind w:left="41"/>
        <w:rPr>
          <w:rFonts w:ascii="仿宋_GB2312" w:hAnsi="仿宋" w:eastAsia="仿宋_GB2312" w:cs="仿宋"/>
          <w:spacing w:val="8"/>
          <w:sz w:val="32"/>
          <w:szCs w:val="32"/>
        </w:rPr>
      </w:pPr>
      <w:r>
        <w:rPr>
          <w:rFonts w:hint="eastAsia" w:ascii="仿宋_GB2312" w:hAnsi="仿宋" w:eastAsia="仿宋_GB2312" w:cs="仿宋"/>
          <w:spacing w:val="8"/>
          <w:sz w:val="32"/>
          <w:szCs w:val="32"/>
        </w:rPr>
        <w:t xml:space="preserve">    9.基本支出：指为保障机构正常运转、完成日常工作任务而发生的人员支出和公用支出。</w:t>
      </w:r>
    </w:p>
    <w:p>
      <w:pPr>
        <w:spacing w:before="3" w:line="600" w:lineRule="exact"/>
        <w:ind w:left="37" w:right="153" w:firstLine="655"/>
        <w:rPr>
          <w:rFonts w:ascii="仿宋_GB2312" w:hAnsi="仿宋" w:eastAsia="仿宋_GB2312" w:cs="仿宋"/>
          <w:spacing w:val="8"/>
          <w:sz w:val="32"/>
          <w:szCs w:val="32"/>
        </w:rPr>
      </w:pPr>
      <w:r>
        <w:rPr>
          <w:rFonts w:hint="eastAsia" w:ascii="仿宋_GB2312" w:hAnsi="仿宋" w:eastAsia="仿宋_GB2312" w:cs="仿宋"/>
          <w:spacing w:val="8"/>
          <w:sz w:val="32"/>
          <w:szCs w:val="32"/>
        </w:rPr>
        <w:t>10.项目支出：指在基本支出之外为完成特定行政任务和事业发展目标所发生的支出。</w:t>
      </w:r>
    </w:p>
    <w:p>
      <w:pPr>
        <w:spacing w:before="7" w:line="600" w:lineRule="exact"/>
        <w:ind w:left="19" w:firstLine="673"/>
        <w:rPr>
          <w:rFonts w:ascii="仿宋_GB2312" w:hAnsi="仿宋" w:eastAsia="仿宋_GB2312" w:cs="仿宋"/>
          <w:spacing w:val="8"/>
          <w:sz w:val="32"/>
          <w:szCs w:val="32"/>
        </w:rPr>
      </w:pPr>
      <w:r>
        <w:rPr>
          <w:rFonts w:hint="eastAsia" w:ascii="仿宋_GB2312" w:hAnsi="仿宋" w:eastAsia="仿宋_GB2312" w:cs="仿宋"/>
          <w:spacing w:val="8"/>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pPr>
        <w:spacing w:before="7" w:line="600" w:lineRule="exact"/>
        <w:ind w:left="19" w:firstLine="673"/>
        <w:rPr>
          <w:rFonts w:ascii="仿宋_GB2312" w:hAnsi="仿宋" w:eastAsia="仿宋_GB2312" w:cs="仿宋"/>
          <w:spacing w:val="8"/>
          <w:sz w:val="32"/>
          <w:szCs w:val="32"/>
        </w:rPr>
      </w:pPr>
      <w:r>
        <w:rPr>
          <w:rFonts w:hint="eastAsia" w:ascii="仿宋_GB2312" w:eastAsia="仿宋_GB2312"/>
          <w:spacing w:val="17"/>
          <w:sz w:val="32"/>
          <w:szCs w:val="32"/>
        </w:rPr>
        <w:t>1</w:t>
      </w:r>
      <w:r>
        <w:rPr>
          <w:rFonts w:hint="eastAsia" w:ascii="仿宋_GB2312" w:eastAsia="仿宋_GB2312"/>
          <w:spacing w:val="10"/>
          <w:sz w:val="32"/>
          <w:szCs w:val="32"/>
        </w:rPr>
        <w:t>2.</w:t>
      </w:r>
      <w:r>
        <w:rPr>
          <w:rFonts w:hint="eastAsia" w:ascii="仿宋_GB2312" w:hAnsi="仿宋" w:eastAsia="仿宋_GB2312" w:cs="仿宋"/>
          <w:spacing w:val="10"/>
          <w:sz w:val="32"/>
          <w:szCs w:val="32"/>
        </w:rPr>
        <w:t>机关运行经费：为保障行政单位(含参照公务员法管</w:t>
      </w:r>
      <w:r>
        <w:rPr>
          <w:rFonts w:hint="eastAsia" w:ascii="仿宋_GB2312" w:hAnsi="仿宋" w:eastAsia="仿宋_GB2312" w:cs="仿宋"/>
          <w:spacing w:val="16"/>
          <w:sz w:val="32"/>
          <w:szCs w:val="32"/>
        </w:rPr>
        <w:t>理</w:t>
      </w:r>
      <w:r>
        <w:rPr>
          <w:rFonts w:hint="eastAsia" w:ascii="仿宋_GB2312" w:hAnsi="仿宋" w:eastAsia="仿宋_GB2312" w:cs="仿宋"/>
          <w:spacing w:val="11"/>
          <w:sz w:val="32"/>
          <w:szCs w:val="32"/>
        </w:rPr>
        <w:t>的</w:t>
      </w:r>
      <w:r>
        <w:rPr>
          <w:rFonts w:hint="eastAsia" w:ascii="仿宋_GB2312" w:hAnsi="仿宋" w:eastAsia="仿宋_GB2312" w:cs="仿宋"/>
          <w:spacing w:val="8"/>
          <w:sz w:val="32"/>
          <w:szCs w:val="32"/>
        </w:rPr>
        <w:t>事业单位)运行用于购买货物和服务的各项资金，包括</w:t>
      </w:r>
      <w:r>
        <w:rPr>
          <w:rFonts w:hint="eastAsia" w:ascii="仿宋_GB2312" w:hAnsi="仿宋" w:eastAsia="仿宋_GB2312" w:cs="仿宋"/>
          <w:spacing w:val="16"/>
          <w:sz w:val="32"/>
          <w:szCs w:val="32"/>
        </w:rPr>
        <w:t>办</w:t>
      </w:r>
      <w:r>
        <w:rPr>
          <w:rFonts w:hint="eastAsia" w:ascii="仿宋_GB2312" w:hAnsi="仿宋" w:eastAsia="仿宋_GB2312" w:cs="仿宋"/>
          <w:spacing w:val="12"/>
          <w:sz w:val="32"/>
          <w:szCs w:val="32"/>
        </w:rPr>
        <w:t>公</w:t>
      </w:r>
      <w:r>
        <w:rPr>
          <w:rFonts w:hint="eastAsia" w:ascii="仿宋_GB2312" w:hAnsi="仿宋" w:eastAsia="仿宋_GB2312" w:cs="仿宋"/>
          <w:spacing w:val="8"/>
          <w:sz w:val="32"/>
          <w:szCs w:val="32"/>
        </w:rPr>
        <w:t>及印刷费、邮电费、差旅费、会议费、福利费、日常维</w:t>
      </w:r>
      <w:r>
        <w:rPr>
          <w:rFonts w:hint="eastAsia" w:ascii="仿宋_GB2312" w:hAnsi="仿宋" w:eastAsia="仿宋_GB2312" w:cs="仿宋"/>
          <w:spacing w:val="12"/>
          <w:sz w:val="32"/>
          <w:szCs w:val="32"/>
        </w:rPr>
        <w:t>修</w:t>
      </w:r>
      <w:r>
        <w:rPr>
          <w:rFonts w:hint="eastAsia" w:ascii="仿宋_GB2312" w:hAnsi="仿宋" w:eastAsia="仿宋_GB2312" w:cs="仿宋"/>
          <w:spacing w:val="9"/>
          <w:sz w:val="32"/>
          <w:szCs w:val="32"/>
        </w:rPr>
        <w:t>费、专用材料及一般设备购置费、办公用房水电费、办公</w:t>
      </w:r>
      <w:r>
        <w:rPr>
          <w:rFonts w:hint="eastAsia" w:ascii="仿宋_GB2312" w:hAnsi="仿宋" w:eastAsia="仿宋_GB2312" w:cs="仿宋"/>
          <w:spacing w:val="12"/>
          <w:sz w:val="32"/>
          <w:szCs w:val="32"/>
        </w:rPr>
        <w:t>用</w:t>
      </w:r>
      <w:r>
        <w:rPr>
          <w:rFonts w:hint="eastAsia" w:ascii="仿宋_GB2312" w:hAnsi="仿宋" w:eastAsia="仿宋_GB2312" w:cs="仿宋"/>
          <w:spacing w:val="9"/>
          <w:sz w:val="32"/>
          <w:szCs w:val="32"/>
        </w:rPr>
        <w:t>房取暖费、办公用房物业管理费、公务用车运行维护费以及</w:t>
      </w:r>
      <w:r>
        <w:rPr>
          <w:rFonts w:hint="eastAsia" w:ascii="仿宋_GB2312" w:hAnsi="仿宋" w:eastAsia="仿宋_GB2312" w:cs="仿宋"/>
          <w:spacing w:val="7"/>
          <w:sz w:val="32"/>
          <w:szCs w:val="32"/>
        </w:rPr>
        <w:t>其他费用。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13.基本支出：指为保障机构正常运转、完成日常工作任务而发生的人员支出和公用支出。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14.项目支出：指在基本支出之外为完成特定行政任务和事业发展目标所发生的支出。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15.经营支出：指事业单位在专业业务活动及其辅助活动之外开展非独立核算经营活动发生的支出。</w:t>
      </w:r>
    </w:p>
    <w:p>
      <w:pPr>
        <w:pStyle w:val="29"/>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1"/>
          <w:rFonts w:ascii="黑体" w:hAnsi="黑体" w:eastAsia="黑体"/>
          <w:b w:val="0"/>
        </w:rPr>
      </w:pPr>
      <w:bookmarkStart w:id="86" w:name="_Toc15396614"/>
      <w:bookmarkStart w:id="87" w:name="_Toc32441"/>
      <w:r>
        <w:rPr>
          <w:rFonts w:hint="eastAsia" w:ascii="黑体" w:hAnsi="黑体" w:eastAsia="黑体"/>
          <w:sz w:val="44"/>
          <w:szCs w:val="44"/>
        </w:rPr>
        <w:t>第</w:t>
      </w:r>
      <w:r>
        <w:rPr>
          <w:rStyle w:val="31"/>
          <w:rFonts w:hint="eastAsia" w:ascii="黑体" w:hAnsi="黑体" w:eastAsia="黑体"/>
          <w:b w:val="0"/>
        </w:rPr>
        <w:t>四部分  附件</w:t>
      </w:r>
      <w:bookmarkEnd w:id="86"/>
      <w:bookmarkEnd w:id="87"/>
    </w:p>
    <w:p>
      <w:pPr>
        <w:spacing w:line="572" w:lineRule="exact"/>
        <w:jc w:val="left"/>
        <w:outlineLvl w:val="1"/>
        <w:rPr>
          <w:rFonts w:ascii="方正小标宋简体" w:hAnsi="方正小标宋简体" w:eastAsia="方正小标宋简体" w:cs="方正小标宋简体"/>
          <w:sz w:val="44"/>
          <w:szCs w:val="44"/>
        </w:rPr>
      </w:pPr>
      <w:bookmarkStart w:id="88" w:name="_Toc30284"/>
      <w:r>
        <w:rPr>
          <w:rFonts w:hint="eastAsia" w:ascii="黑体" w:hAnsi="黑体" w:eastAsia="黑体" w:cs="黑体"/>
          <w:sz w:val="32"/>
          <w:szCs w:val="32"/>
        </w:rPr>
        <w:t>附件</w:t>
      </w:r>
      <w:bookmarkEnd w:id="88"/>
      <w:r>
        <w:rPr>
          <w:rFonts w:hint="eastAsia" w:ascii="黑体" w:hAnsi="黑体" w:eastAsia="黑体" w:cs="黑体"/>
          <w:sz w:val="32"/>
          <w:szCs w:val="32"/>
        </w:rPr>
        <w:t>1</w:t>
      </w:r>
    </w:p>
    <w:p>
      <w:pPr>
        <w:pStyle w:val="9"/>
        <w:adjustRightInd w:val="0"/>
        <w:snapToGrid w:val="0"/>
        <w:ind w:left="420"/>
        <w:jc w:val="center"/>
        <w:rPr>
          <w:rFonts w:ascii="Times New Roman" w:hAnsi="Times New Roman" w:eastAsia="方正小标宋_GBK"/>
          <w:sz w:val="44"/>
          <w:szCs w:val="36"/>
        </w:rPr>
      </w:pPr>
    </w:p>
    <w:p>
      <w:pPr>
        <w:pStyle w:val="9"/>
        <w:adjustRightInd w:val="0"/>
        <w:snapToGrid w:val="0"/>
        <w:ind w:left="420"/>
        <w:jc w:val="center"/>
        <w:rPr>
          <w:rFonts w:ascii="Times New Roman" w:hAnsi="Times New Roman" w:eastAsia="方正小标宋_GBK"/>
          <w:sz w:val="44"/>
          <w:szCs w:val="36"/>
        </w:rPr>
      </w:pPr>
      <w:r>
        <w:rPr>
          <w:rFonts w:ascii="Times New Roman" w:hAnsi="Times New Roman" w:eastAsia="方正小标宋_GBK"/>
          <w:sz w:val="44"/>
          <w:szCs w:val="36"/>
        </w:rPr>
        <w:t>攀枝花市发展和改革委员会</w:t>
      </w:r>
    </w:p>
    <w:p>
      <w:pPr>
        <w:pStyle w:val="9"/>
        <w:adjustRightInd w:val="0"/>
        <w:snapToGrid w:val="0"/>
        <w:jc w:val="center"/>
        <w:rPr>
          <w:rFonts w:ascii="Times New Roman" w:hAnsi="Times New Roman" w:eastAsia="方正小标宋_GBK"/>
          <w:sz w:val="44"/>
          <w:szCs w:val="36"/>
        </w:rPr>
      </w:pPr>
      <w:r>
        <w:rPr>
          <w:rFonts w:ascii="Times New Roman" w:hAnsi="Times New Roman" w:eastAsia="方正小标宋_GBK"/>
          <w:sz w:val="44"/>
          <w:szCs w:val="36"/>
        </w:rPr>
        <w:t>202</w:t>
      </w:r>
      <w:r>
        <w:rPr>
          <w:rFonts w:hint="eastAsia" w:ascii="Times New Roman" w:hAnsi="Times New Roman" w:eastAsia="方正小标宋_GBK"/>
          <w:sz w:val="44"/>
          <w:szCs w:val="36"/>
        </w:rPr>
        <w:t>2</w:t>
      </w:r>
      <w:r>
        <w:rPr>
          <w:rFonts w:ascii="Times New Roman" w:hAnsi="Times New Roman" w:eastAsia="方正小标宋_GBK"/>
          <w:sz w:val="44"/>
          <w:szCs w:val="36"/>
        </w:rPr>
        <w:t>年度部门整体</w:t>
      </w:r>
      <w:r>
        <w:rPr>
          <w:rFonts w:hint="eastAsia" w:ascii="Times New Roman" w:hAnsi="Times New Roman" w:eastAsia="方正小标宋_GBK"/>
          <w:sz w:val="44"/>
          <w:szCs w:val="36"/>
        </w:rPr>
        <w:t>支出</w:t>
      </w:r>
      <w:r>
        <w:rPr>
          <w:rFonts w:ascii="Times New Roman" w:hAnsi="Times New Roman" w:eastAsia="方正小标宋_GBK"/>
          <w:sz w:val="44"/>
          <w:szCs w:val="36"/>
        </w:rPr>
        <w:t>绩效自评报告</w:t>
      </w:r>
    </w:p>
    <w:p>
      <w:pPr>
        <w:pStyle w:val="9"/>
        <w:adjustRightInd w:val="0"/>
        <w:snapToGrid w:val="0"/>
        <w:spacing w:line="360" w:lineRule="auto"/>
        <w:ind w:firstLine="640" w:firstLineChars="200"/>
        <w:rPr>
          <w:rFonts w:ascii="Times New Roman" w:hAnsi="Times New Roman" w:eastAsia="仿宋_GB2312"/>
          <w:color w:val="000000" w:themeColor="text1"/>
          <w:sz w:val="32"/>
          <w:szCs w:val="32"/>
        </w:rPr>
      </w:pPr>
    </w:p>
    <w:p>
      <w:pPr>
        <w:pStyle w:val="9"/>
        <w:adjustRightInd w:val="0"/>
        <w:snapToGrid w:val="0"/>
        <w:spacing w:line="600" w:lineRule="exact"/>
        <w:ind w:firstLine="640" w:firstLineChars="200"/>
        <w:outlineLvl w:val="1"/>
        <w:rPr>
          <w:rFonts w:ascii="Times New Roman" w:hAnsi="Times New Roman" w:eastAsia="黑体"/>
          <w:color w:val="000000" w:themeColor="text1"/>
          <w:sz w:val="32"/>
          <w:szCs w:val="32"/>
        </w:rPr>
      </w:pPr>
      <w:bookmarkStart w:id="89" w:name="_Toc778"/>
      <w:r>
        <w:rPr>
          <w:rFonts w:ascii="Times New Roman" w:hAnsi="Times New Roman" w:eastAsia="黑体"/>
          <w:color w:val="000000" w:themeColor="text1"/>
          <w:sz w:val="32"/>
          <w:szCs w:val="32"/>
        </w:rPr>
        <w:t>一、部门概况</w:t>
      </w:r>
      <w:bookmarkEnd w:id="89"/>
    </w:p>
    <w:p>
      <w:pPr>
        <w:adjustRightInd w:val="0"/>
        <w:snapToGrid w:val="0"/>
        <w:spacing w:line="600" w:lineRule="exact"/>
        <w:ind w:firstLine="640"/>
        <w:rPr>
          <w:rFonts w:eastAsia="楷体"/>
          <w:color w:val="000000" w:themeColor="text1"/>
          <w:sz w:val="32"/>
          <w:szCs w:val="32"/>
        </w:rPr>
      </w:pPr>
      <w:r>
        <w:rPr>
          <w:rFonts w:eastAsia="楷体"/>
          <w:color w:val="000000" w:themeColor="text1"/>
          <w:sz w:val="32"/>
          <w:szCs w:val="32"/>
        </w:rPr>
        <w:t>（</w:t>
      </w:r>
      <w:r>
        <w:rPr>
          <w:rFonts w:hint="eastAsia" w:eastAsia="楷体"/>
          <w:color w:val="000000" w:themeColor="text1"/>
          <w:sz w:val="32"/>
          <w:szCs w:val="32"/>
        </w:rPr>
        <w:t>一</w:t>
      </w:r>
      <w:r>
        <w:rPr>
          <w:rFonts w:eastAsia="楷体"/>
          <w:color w:val="000000" w:themeColor="text1"/>
          <w:sz w:val="32"/>
          <w:szCs w:val="32"/>
        </w:rPr>
        <w:t>）机构</w:t>
      </w:r>
      <w:r>
        <w:rPr>
          <w:rFonts w:hint="eastAsia" w:eastAsia="楷体"/>
          <w:color w:val="000000" w:themeColor="text1"/>
          <w:sz w:val="32"/>
          <w:szCs w:val="32"/>
        </w:rPr>
        <w:t>组成</w:t>
      </w:r>
    </w:p>
    <w:p>
      <w:pPr>
        <w:adjustRightInd w:val="0"/>
        <w:snapToGrid w:val="0"/>
        <w:spacing w:line="600" w:lineRule="exact"/>
        <w:ind w:firstLine="640"/>
        <w:rPr>
          <w:rFonts w:eastAsia="楷体"/>
          <w:color w:val="000000" w:themeColor="text1"/>
          <w:sz w:val="32"/>
          <w:szCs w:val="32"/>
        </w:rPr>
      </w:pPr>
      <w:r>
        <w:rPr>
          <w:rFonts w:hint="eastAsia" w:eastAsia="仿宋_GB2312"/>
          <w:color w:val="000000" w:themeColor="text1"/>
          <w:sz w:val="32"/>
          <w:szCs w:val="32"/>
        </w:rPr>
        <w:t>市发展改革委</w:t>
      </w:r>
      <w:r>
        <w:rPr>
          <w:rFonts w:eastAsia="仿宋_GB2312"/>
          <w:color w:val="000000" w:themeColor="text1"/>
          <w:sz w:val="32"/>
          <w:szCs w:val="32"/>
        </w:rPr>
        <w:t>共设置23个内设科室，1个驻委纪检监察组，3个下属事业单位：市价格认证中心、市重要和应急物资储备中心及市重大项目储备中心。</w:t>
      </w:r>
    </w:p>
    <w:p>
      <w:pPr>
        <w:pStyle w:val="9"/>
        <w:adjustRightInd w:val="0"/>
        <w:snapToGrid w:val="0"/>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w:t>
      </w:r>
      <w:r>
        <w:rPr>
          <w:rFonts w:hint="eastAsia" w:ascii="Times New Roman" w:hAnsi="Times New Roman" w:eastAsia="楷体"/>
          <w:color w:val="000000" w:themeColor="text1"/>
          <w:sz w:val="32"/>
          <w:szCs w:val="32"/>
        </w:rPr>
        <w:t>二</w:t>
      </w:r>
      <w:r>
        <w:rPr>
          <w:rFonts w:ascii="Times New Roman" w:hAnsi="Times New Roman" w:eastAsia="楷体"/>
          <w:color w:val="000000" w:themeColor="text1"/>
          <w:sz w:val="32"/>
          <w:szCs w:val="32"/>
        </w:rPr>
        <w:t>）</w:t>
      </w:r>
      <w:r>
        <w:rPr>
          <w:rFonts w:hint="eastAsia" w:ascii="Times New Roman" w:hAnsi="Times New Roman" w:eastAsia="楷体"/>
          <w:color w:val="000000" w:themeColor="text1"/>
          <w:sz w:val="32"/>
          <w:szCs w:val="32"/>
        </w:rPr>
        <w:t>机构</w:t>
      </w:r>
      <w:r>
        <w:rPr>
          <w:rFonts w:ascii="Times New Roman" w:hAnsi="Times New Roman" w:eastAsia="楷体"/>
          <w:color w:val="000000" w:themeColor="text1"/>
          <w:sz w:val="32"/>
          <w:szCs w:val="32"/>
        </w:rPr>
        <w:t>职能</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贯彻执行国家有关国民经济和社会发展、经济体制改革的方针、政策和法律、法规。拟订并组织实施全市国民经济和社会发展战略、中长期规划和年度计划。受市政府委托向市人大提交国民经济和社会发展计划报告。</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统筹协调全市经济社会发展，研究分析宏观经济形势，进行宏观经济的预测预警和信息引导。研究宏观调控重大问题，提出全市经济社会发展、经济结构优化、价格总水平调控目标和政策建议，搞好总量平衡，综合协调经济社会发展中的重大问题。</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汇总分析全市财政、金融等方面情况，参与拟订财政、金融、土地政策，综合分析政策执行效果，负责全市全口径外债的总量控制、结构优化和监测工作，提出多渠道融资的政策建议，综合协调财政、金融、价格和产业政策等经济杠杆，保证全市国民经济发展规划和计划的实施。</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承担指导推进和综合协调全市经济体制改革的责任，研究经济体制改革和对外开放的重大问题及对策，组织拟订综合性经济体制改革方案，协调有关专项经济体制改革方案，会同有关部门搞好专项经济体制改革间的衔接，组织、指导和协调综合配套改革试点和重大专项经济体制改革试点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贯彻执行国家和省价格法律、法规和方针、政策，编制和执行价格调整改革规划，组织实施年度价格总水平调控目标及价格调控措施，负责权限范围内价格的制定调整和重要商品价格的管理，监管实行市场调节价的商品和服务价格，承担行政事业性收费管理工作，负责全市价格监督检查、价格成本调查监审、价格监测、价格认证等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全市投资宏观管理和协调推进重大项目建设。拟订全社会固定资产投资总规模和投资结构的调控目标、政策措施，安排财政性建设资金，指导和监督政策性贷款的使用方向，按规定权限审批、核准、备案或转报固定资产投资项目（企业技术改革项目除外）和资源开发利用、外资、境外投资项目。引导民间投资方向，研究提出利用外资和境外投资的规划、总量平衡和结构优化的目标和对策措施，指导和协调国外贷款项目实施。负责市政府非经营性投资项目“代建制”管理工作。组织开展重大建设项目稽察。指导工程咨询业发展。</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7</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推进经济结构战略性调整。组织拟订全市综合性产业政策，负责协调第一、二、三产业发展的重大问题，衔接平衡相关发展规划和重大政策，协调农业和农村经济社会发展的重大问题，衔接农村专项规划和政策。拟订重大产业发展规划，引导全市重大生产力合理布局，协调推进全市重大技术装备推广应用和重大产业基地建设，会同有关部门拟订服务业、现代物流业发展战略、规划和重大政策。组织拟订高技术产业发展、产业技术进步的战略规划和重大政策，推进重大科技成果产业化。</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8</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促进城乡区域协调发展。研究分析区域经济和城镇化发展情况，组织拟订区域经济协调发展战略规划和重大政策，研究提出城镇化发展战略和统筹城乡发展的政策措施。</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9</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重要商品总量平衡和宏观调控。研究分析市内外市场和对外贸易运行情况，编制重要农产品、工业品和原材料进出口总量计划并监督执行。提出重要商品市场、生产要素市场的发展规划、总体布局和重大调控措施。</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10</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全市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11</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推进可持续发展战略，负责全市节能减排的综合协调工作，组织拟订并协调实施全市发展循环经济、能源资源节约和综合利用规划及政策措施，参与编制生态建设、环境保护规划，协调生态建设、能源资源节约和综合利用的重大问题，综合协调环保产业和清洁生产促进有关工作。组织拟订并实施应对气候变化的规划和政策措施。</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12</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研究提出全市能源发展战略和政策措施，拟订全市能源发展规划并提出相关体制改革建议，监测能源发展情况，统筹规划、综合平衡能源建设和重大项目布局，协调能源发展和项目建设中的重大问题，研究提出优化能源结构、能源节约和发展新能源的政策措施，做好能源总量综合平衡，提高全市能源安全的保障能力。</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13</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负责指导和协调全市招标投标工作，组织拟订招标投标配套规定，按规定核准项目招标事项，按照职责权限对建设项目招标投标活动实施监督检查。</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14</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负责与国家、省铁建部门的工作衔接，负责全市铁路建设项目前期工作，组织协调铁路建设工作中的征地拆迁和重大问题，协同做好全市铁路建设规划及年度计划编制的相关工作。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15</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负责组织编制全市国民经济动员与装备动员规划、计划，研究国民经济动员与装备动员和国民经济、国防建设的关系，协调相关重大问题，组织实施国民经济动员与装备动员有关工作。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16</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贯彻执行国家、省以工代赈政策，研究编制以工代赈中长期规划和年度计划并组织实施。会同有关部门拟订民族地区经济发展规划和重大政策，协调推进重大项目建设，促进民族地区经济社会持续、稳定、协调发展。</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17</w:t>
      </w:r>
      <w:r>
        <w:rPr>
          <w:rFonts w:hint="eastAsia" w:ascii="仿宋_GB2312" w:eastAsia="仿宋_GB2312"/>
          <w:spacing w:val="3"/>
          <w:sz w:val="32"/>
          <w:szCs w:val="32"/>
        </w:rPr>
        <w:t>.</w:t>
      </w:r>
      <w:r>
        <w:rPr>
          <w:rFonts w:hint="eastAsia" w:ascii="Times New Roman" w:hAnsi="Times New Roman" w:eastAsia="仿宋_GB2312" w:cs="Times New Roman"/>
          <w:color w:val="000000" w:themeColor="text1"/>
          <w:sz w:val="32"/>
          <w:szCs w:val="32"/>
        </w:rPr>
        <w:t>负责全市共同富裕试验区发展战略、规划、计划的组织实施，推进开展全市共同富裕试验区重大项目、重要活动和重点工作。建立健全工作推进机制，组织指导、综合协调各部门的共同富裕建设相关工作。承担攀枝花高质量发展建设共同富裕试验区领导小组办公室的日常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18</w:t>
      </w:r>
      <w:r>
        <w:rPr>
          <w:rFonts w:hint="eastAsia" w:ascii="仿宋_GB2312" w:eastAsia="仿宋_GB2312"/>
          <w:spacing w:val="3"/>
          <w:sz w:val="32"/>
          <w:szCs w:val="32"/>
        </w:rPr>
        <w:t>.</w:t>
      </w:r>
      <w:r>
        <w:rPr>
          <w:rFonts w:hint="eastAsia" w:ascii="Times New Roman" w:hAnsi="Times New Roman" w:eastAsia="仿宋_GB2312" w:cs="Times New Roman"/>
          <w:color w:val="000000" w:themeColor="text1"/>
          <w:sz w:val="32"/>
          <w:szCs w:val="32"/>
        </w:rPr>
        <w:t>贯彻执行国家、省、市统计制度和统计标准。组织指导、综合协调本部门各职能机构的统计工作。牵头负责本系统及行业管理范围内统计数据的收集汇总、分析预测、监测预警、监督检查、报送公布等工作。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19</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承担市资源开发委员会（市实施西部大开发领导小组）的具体工作。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承担市政府公布的有关行政审批事项。</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21</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承办市政府交办的其他事项。</w:t>
      </w:r>
    </w:p>
    <w:p>
      <w:pPr>
        <w:adjustRightInd w:val="0"/>
        <w:snapToGrid w:val="0"/>
        <w:spacing w:line="600" w:lineRule="exact"/>
        <w:rPr>
          <w:rFonts w:eastAsia="楷体"/>
          <w:color w:val="000000" w:themeColor="text1"/>
          <w:sz w:val="32"/>
          <w:szCs w:val="32"/>
        </w:rPr>
      </w:pPr>
      <w:r>
        <w:rPr>
          <w:rFonts w:hint="eastAsia" w:eastAsia="楷体"/>
          <w:color w:val="000000" w:themeColor="text1"/>
          <w:sz w:val="32"/>
          <w:szCs w:val="32"/>
        </w:rPr>
        <w:t xml:space="preserve">   </w:t>
      </w:r>
      <w:r>
        <w:rPr>
          <w:rFonts w:eastAsia="楷体"/>
          <w:color w:val="000000" w:themeColor="text1"/>
          <w:sz w:val="32"/>
          <w:szCs w:val="32"/>
        </w:rPr>
        <w:t>（三）人员</w:t>
      </w:r>
      <w:r>
        <w:rPr>
          <w:rFonts w:hint="eastAsia" w:eastAsia="楷体"/>
          <w:color w:val="000000" w:themeColor="text1"/>
          <w:sz w:val="32"/>
          <w:szCs w:val="32"/>
        </w:rPr>
        <w:t>概况</w:t>
      </w:r>
    </w:p>
    <w:p>
      <w:pPr>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2022年</w:t>
      </w:r>
      <w:r>
        <w:rPr>
          <w:rFonts w:eastAsia="仿宋_GB2312"/>
          <w:color w:val="000000" w:themeColor="text1"/>
          <w:sz w:val="32"/>
          <w:szCs w:val="32"/>
        </w:rPr>
        <w:t>行政编制70人，年末实有人数</w:t>
      </w:r>
      <w:r>
        <w:rPr>
          <w:rFonts w:hint="eastAsia" w:eastAsia="仿宋_GB2312"/>
          <w:color w:val="000000" w:themeColor="text1"/>
          <w:sz w:val="32"/>
          <w:szCs w:val="32"/>
        </w:rPr>
        <w:t>59</w:t>
      </w:r>
      <w:r>
        <w:rPr>
          <w:rFonts w:eastAsia="仿宋_GB2312"/>
          <w:color w:val="000000" w:themeColor="text1"/>
          <w:sz w:val="32"/>
          <w:szCs w:val="32"/>
        </w:rPr>
        <w:t>人；工勤编制11人，年末实有</w:t>
      </w:r>
      <w:r>
        <w:rPr>
          <w:rFonts w:hint="eastAsia" w:eastAsia="仿宋_GB2312"/>
          <w:color w:val="000000" w:themeColor="text1"/>
          <w:sz w:val="32"/>
          <w:szCs w:val="32"/>
        </w:rPr>
        <w:t>人</w:t>
      </w:r>
      <w:r>
        <w:rPr>
          <w:rFonts w:eastAsia="仿宋_GB2312"/>
          <w:color w:val="000000" w:themeColor="text1"/>
          <w:sz w:val="32"/>
          <w:szCs w:val="32"/>
        </w:rPr>
        <w:t>数9人</w:t>
      </w:r>
      <w:r>
        <w:rPr>
          <w:rFonts w:hint="eastAsia" w:eastAsia="仿宋_GB2312"/>
          <w:color w:val="000000" w:themeColor="text1"/>
          <w:sz w:val="32"/>
          <w:szCs w:val="32"/>
        </w:rPr>
        <w:t>（含86号文管理人员）</w:t>
      </w:r>
      <w:r>
        <w:rPr>
          <w:rFonts w:eastAsia="仿宋_GB2312"/>
          <w:color w:val="000000" w:themeColor="text1"/>
          <w:sz w:val="32"/>
          <w:szCs w:val="32"/>
        </w:rPr>
        <w:t>；事业编制</w:t>
      </w:r>
      <w:r>
        <w:rPr>
          <w:rFonts w:hint="eastAsia" w:eastAsia="仿宋_GB2312"/>
          <w:color w:val="000000" w:themeColor="text1"/>
          <w:sz w:val="32"/>
          <w:szCs w:val="32"/>
        </w:rPr>
        <w:t>21</w:t>
      </w:r>
      <w:r>
        <w:rPr>
          <w:rFonts w:eastAsia="仿宋_GB2312"/>
          <w:color w:val="000000" w:themeColor="text1"/>
          <w:sz w:val="32"/>
          <w:szCs w:val="32"/>
        </w:rPr>
        <w:t>人，年末</w:t>
      </w:r>
      <w:r>
        <w:rPr>
          <w:rFonts w:hint="eastAsia" w:eastAsia="仿宋_GB2312"/>
          <w:color w:val="000000" w:themeColor="text1"/>
          <w:sz w:val="32"/>
          <w:szCs w:val="32"/>
        </w:rPr>
        <w:t>实有人</w:t>
      </w:r>
      <w:r>
        <w:rPr>
          <w:rFonts w:eastAsia="仿宋_GB2312"/>
          <w:color w:val="000000" w:themeColor="text1"/>
          <w:sz w:val="32"/>
          <w:szCs w:val="32"/>
        </w:rPr>
        <w:t>数</w:t>
      </w:r>
      <w:r>
        <w:rPr>
          <w:rFonts w:hint="eastAsia" w:eastAsia="仿宋_GB2312"/>
          <w:color w:val="000000" w:themeColor="text1"/>
          <w:sz w:val="32"/>
          <w:szCs w:val="32"/>
        </w:rPr>
        <w:t>22</w:t>
      </w:r>
      <w:r>
        <w:rPr>
          <w:rFonts w:eastAsia="仿宋_GB2312"/>
          <w:color w:val="000000" w:themeColor="text1"/>
          <w:sz w:val="32"/>
          <w:szCs w:val="32"/>
        </w:rPr>
        <w:t>人；离休人员</w:t>
      </w:r>
      <w:r>
        <w:rPr>
          <w:rFonts w:hint="eastAsia" w:eastAsia="仿宋_GB2312"/>
          <w:color w:val="000000" w:themeColor="text1"/>
          <w:sz w:val="32"/>
          <w:szCs w:val="32"/>
        </w:rPr>
        <w:t>1</w:t>
      </w:r>
      <w:r>
        <w:rPr>
          <w:rFonts w:eastAsia="仿宋_GB2312"/>
          <w:color w:val="000000" w:themeColor="text1"/>
          <w:sz w:val="32"/>
          <w:szCs w:val="32"/>
        </w:rPr>
        <w:t>人，退休人员8</w:t>
      </w:r>
      <w:r>
        <w:rPr>
          <w:rFonts w:hint="eastAsia" w:eastAsia="仿宋_GB2312"/>
          <w:color w:val="000000" w:themeColor="text1"/>
          <w:sz w:val="32"/>
          <w:szCs w:val="32"/>
        </w:rPr>
        <w:t>5</w:t>
      </w:r>
      <w:r>
        <w:rPr>
          <w:rFonts w:eastAsia="仿宋_GB2312"/>
          <w:color w:val="000000" w:themeColor="text1"/>
          <w:sz w:val="32"/>
          <w:szCs w:val="32"/>
        </w:rPr>
        <w:t>人；根据工作需要自聘人员</w:t>
      </w:r>
      <w:r>
        <w:rPr>
          <w:rFonts w:hint="eastAsia" w:eastAsia="仿宋_GB2312"/>
          <w:color w:val="000000" w:themeColor="text1"/>
          <w:sz w:val="32"/>
          <w:szCs w:val="32"/>
        </w:rPr>
        <w:t>4</w:t>
      </w:r>
      <w:r>
        <w:rPr>
          <w:rFonts w:eastAsia="仿宋_GB2312"/>
          <w:color w:val="000000" w:themeColor="text1"/>
          <w:sz w:val="32"/>
          <w:szCs w:val="32"/>
        </w:rPr>
        <w:t>人。</w:t>
      </w:r>
    </w:p>
    <w:p>
      <w:pPr>
        <w:pStyle w:val="9"/>
        <w:adjustRightInd w:val="0"/>
        <w:snapToGrid w:val="0"/>
        <w:spacing w:line="600" w:lineRule="exact"/>
        <w:ind w:firstLine="640" w:firstLineChars="200"/>
        <w:rPr>
          <w:rFonts w:ascii="Times New Roman" w:hAnsi="Times New Roman" w:eastAsia="黑体"/>
          <w:color w:val="000000" w:themeColor="text1"/>
          <w:sz w:val="32"/>
          <w:szCs w:val="32"/>
        </w:rPr>
      </w:pPr>
    </w:p>
    <w:p>
      <w:pPr>
        <w:pStyle w:val="9"/>
        <w:adjustRightInd w:val="0"/>
        <w:snapToGrid w:val="0"/>
        <w:spacing w:line="600" w:lineRule="exact"/>
        <w:ind w:firstLine="640" w:firstLineChars="200"/>
        <w:outlineLvl w:val="1"/>
        <w:rPr>
          <w:rFonts w:ascii="Times New Roman" w:hAnsi="Times New Roman" w:eastAsia="黑体"/>
          <w:color w:val="000000" w:themeColor="text1"/>
          <w:sz w:val="32"/>
          <w:szCs w:val="32"/>
        </w:rPr>
      </w:pPr>
      <w:bookmarkStart w:id="90" w:name="_Toc13146"/>
      <w:r>
        <w:rPr>
          <w:rFonts w:ascii="Times New Roman" w:hAnsi="Times New Roman" w:eastAsia="黑体"/>
          <w:color w:val="000000" w:themeColor="text1"/>
          <w:sz w:val="32"/>
          <w:szCs w:val="32"/>
        </w:rPr>
        <w:t>二、部门</w:t>
      </w:r>
      <w:r>
        <w:rPr>
          <w:rFonts w:hint="eastAsia" w:ascii="Times New Roman" w:hAnsi="Times New Roman" w:eastAsia="黑体"/>
          <w:color w:val="000000" w:themeColor="text1"/>
          <w:sz w:val="32"/>
          <w:szCs w:val="32"/>
        </w:rPr>
        <w:t>财政</w:t>
      </w:r>
      <w:r>
        <w:rPr>
          <w:rFonts w:ascii="Times New Roman" w:hAnsi="Times New Roman" w:eastAsia="黑体"/>
          <w:color w:val="000000" w:themeColor="text1"/>
          <w:sz w:val="32"/>
          <w:szCs w:val="32"/>
        </w:rPr>
        <w:t>资金</w:t>
      </w:r>
      <w:r>
        <w:rPr>
          <w:rFonts w:hint="eastAsia" w:ascii="Times New Roman" w:hAnsi="Times New Roman" w:eastAsia="黑体"/>
          <w:color w:val="000000" w:themeColor="text1"/>
          <w:sz w:val="32"/>
          <w:szCs w:val="32"/>
        </w:rPr>
        <w:t>收支</w:t>
      </w:r>
      <w:r>
        <w:rPr>
          <w:rFonts w:ascii="Times New Roman" w:hAnsi="Times New Roman" w:eastAsia="黑体"/>
          <w:color w:val="000000" w:themeColor="text1"/>
          <w:sz w:val="32"/>
          <w:szCs w:val="32"/>
        </w:rPr>
        <w:t>情况</w:t>
      </w:r>
      <w:bookmarkEnd w:id="90"/>
    </w:p>
    <w:p>
      <w:pPr>
        <w:pStyle w:val="9"/>
        <w:adjustRightInd w:val="0"/>
        <w:snapToGrid w:val="0"/>
        <w:spacing w:line="600" w:lineRule="exact"/>
        <w:rPr>
          <w:rFonts w:ascii="Times New Roman" w:hAnsi="Times New Roman" w:eastAsia="楷体"/>
          <w:color w:val="000000" w:themeColor="text1"/>
          <w:sz w:val="32"/>
          <w:szCs w:val="32"/>
        </w:rPr>
      </w:pPr>
      <w:r>
        <w:rPr>
          <w:rFonts w:hint="eastAsia" w:ascii="Times New Roman" w:hAnsi="Times New Roman" w:eastAsia="楷体"/>
          <w:color w:val="000000" w:themeColor="text1"/>
          <w:sz w:val="32"/>
          <w:szCs w:val="32"/>
        </w:rPr>
        <w:t xml:space="preserve">   </w:t>
      </w:r>
      <w:r>
        <w:rPr>
          <w:rFonts w:ascii="Times New Roman" w:hAnsi="Times New Roman" w:eastAsia="楷体"/>
          <w:color w:val="000000" w:themeColor="text1"/>
          <w:sz w:val="32"/>
          <w:szCs w:val="32"/>
        </w:rPr>
        <w:t>（一）部门</w:t>
      </w:r>
      <w:r>
        <w:rPr>
          <w:rFonts w:hint="eastAsia" w:ascii="Times New Roman" w:hAnsi="Times New Roman" w:eastAsia="楷体"/>
          <w:color w:val="000000" w:themeColor="text1"/>
          <w:sz w:val="32"/>
          <w:szCs w:val="32"/>
        </w:rPr>
        <w:t>财政资金收入情况</w:t>
      </w:r>
    </w:p>
    <w:p>
      <w:pPr>
        <w:pStyle w:val="9"/>
        <w:adjustRightInd w:val="0"/>
        <w:snapToGrid w:val="0"/>
        <w:spacing w:line="600" w:lineRule="exact"/>
        <w:ind w:firstLine="640" w:firstLineChars="200"/>
        <w:rPr>
          <w:rFonts w:ascii="Times New Roman" w:hAnsi="Times New Roman" w:eastAsia="楷体"/>
          <w:color w:val="000000" w:themeColor="text1"/>
          <w:sz w:val="32"/>
          <w:szCs w:val="32"/>
        </w:rPr>
      </w:pPr>
      <w:r>
        <w:rPr>
          <w:rFonts w:hint="eastAsia" w:ascii="Times New Roman" w:hAnsi="Times New Roman" w:eastAsia="仿宋_GB2312"/>
          <w:color w:val="000000" w:themeColor="text1"/>
          <w:sz w:val="32"/>
          <w:szCs w:val="32"/>
        </w:rPr>
        <w:t>2022年财政拨款年初预算收入2442.76万元，其中一般公共服务支出预算下达1856.56万元，社会保障和就业支出下达389.98万元，住房保障支出下达196.22万元，年初财政拨款是突出财政资金保工资、保运转、保民生的“三保”基本特点，人员经费占比最大，占全部拨款经费的86.70%，年初预算项目经费下达0万元；2022年部门全年财政拨款收入2651.31万元，其中基本支出2385.71万元，占财政拨款收入的89.98%，项目经费支出265.60万元，占财政拨款收入的10.02%。</w:t>
      </w:r>
    </w:p>
    <w:p>
      <w:pPr>
        <w:pStyle w:val="9"/>
        <w:adjustRightInd w:val="0"/>
        <w:snapToGrid w:val="0"/>
        <w:spacing w:line="600" w:lineRule="exact"/>
        <w:rPr>
          <w:rFonts w:ascii="Times New Roman" w:hAnsi="Times New Roman" w:eastAsia="楷体"/>
          <w:color w:val="000000" w:themeColor="text1"/>
          <w:sz w:val="32"/>
          <w:szCs w:val="32"/>
        </w:rPr>
      </w:pPr>
      <w:r>
        <w:rPr>
          <w:rFonts w:hint="eastAsia" w:ascii="Times New Roman" w:hAnsi="Times New Roman" w:eastAsia="楷体"/>
          <w:color w:val="000000" w:themeColor="text1"/>
          <w:sz w:val="32"/>
          <w:szCs w:val="32"/>
        </w:rPr>
        <w:t xml:space="preserve">   </w:t>
      </w:r>
      <w:r>
        <w:rPr>
          <w:rFonts w:ascii="Times New Roman" w:hAnsi="Times New Roman" w:eastAsia="楷体"/>
          <w:color w:val="000000" w:themeColor="text1"/>
          <w:sz w:val="32"/>
          <w:szCs w:val="32"/>
        </w:rPr>
        <w:t>（二）</w:t>
      </w:r>
      <w:r>
        <w:rPr>
          <w:rFonts w:hint="eastAsia" w:ascii="Times New Roman" w:hAnsi="Times New Roman" w:eastAsia="楷体"/>
          <w:color w:val="000000" w:themeColor="text1"/>
          <w:sz w:val="32"/>
          <w:szCs w:val="32"/>
        </w:rPr>
        <w:t>部门财政资金支出</w:t>
      </w:r>
      <w:r>
        <w:rPr>
          <w:rFonts w:ascii="Times New Roman" w:hAnsi="Times New Roman" w:eastAsia="楷体"/>
          <w:color w:val="000000" w:themeColor="text1"/>
          <w:sz w:val="32"/>
          <w:szCs w:val="32"/>
        </w:rPr>
        <w:t>情况</w:t>
      </w:r>
    </w:p>
    <w:p>
      <w:pPr>
        <w:widowControl/>
        <w:spacing w:line="600" w:lineRule="exact"/>
        <w:ind w:firstLine="640"/>
        <w:rPr>
          <w:rFonts w:eastAsia="仿宋_GB2312"/>
          <w:color w:val="000000" w:themeColor="text1"/>
          <w:sz w:val="32"/>
          <w:szCs w:val="32"/>
        </w:rPr>
      </w:pPr>
      <w:r>
        <w:rPr>
          <w:rFonts w:hint="eastAsia" w:eastAsia="仿宋_GB2312"/>
          <w:color w:val="000000" w:themeColor="text1"/>
          <w:sz w:val="32"/>
          <w:szCs w:val="32"/>
        </w:rPr>
        <w:t>2022年部门财政拨款支出2776.00万元，其中基本支出2510.40万元，占总支出的90.43%，其中人员经费支出2326.49万元，日常公用经费支出183.91万元，项目经费支出265.60万元，占总支出的9.57%。项目支出主要包括《攀枝花市十四五规划纲要》编制余款及《十四五钒钛产业发展规划》项目编制经费75.40万元，工程项目评审费及评估费22.78万元，第五届中国康养产业发展和融合发展论坛会务服务费34.79万元，国家物流枢纽建设专项课题研究编制服务费89.40万元，机关运行经费42.55万元，关工委工作经费0.5万元及2021年干部异地体检费0.18万元。</w:t>
      </w:r>
    </w:p>
    <w:p>
      <w:pPr>
        <w:pStyle w:val="9"/>
        <w:adjustRightInd w:val="0"/>
        <w:snapToGrid w:val="0"/>
        <w:spacing w:line="600" w:lineRule="exact"/>
        <w:ind w:firstLine="640" w:firstLineChars="200"/>
        <w:rPr>
          <w:rFonts w:ascii="Times New Roman" w:hAnsi="Times New Roman" w:eastAsia="楷体"/>
          <w:color w:val="000000" w:themeColor="text1"/>
          <w:sz w:val="32"/>
          <w:szCs w:val="32"/>
        </w:rPr>
      </w:pPr>
    </w:p>
    <w:p>
      <w:pPr>
        <w:pStyle w:val="9"/>
        <w:adjustRightInd w:val="0"/>
        <w:snapToGrid w:val="0"/>
        <w:spacing w:line="600" w:lineRule="exact"/>
        <w:ind w:firstLine="640" w:firstLineChars="200"/>
        <w:outlineLvl w:val="1"/>
        <w:rPr>
          <w:rFonts w:ascii="Times New Roman" w:hAnsi="Times New Roman" w:eastAsia="黑体"/>
          <w:color w:val="000000" w:themeColor="text1"/>
          <w:sz w:val="32"/>
          <w:szCs w:val="32"/>
        </w:rPr>
      </w:pPr>
      <w:bookmarkStart w:id="91" w:name="_Toc19455"/>
      <w:r>
        <w:rPr>
          <w:rFonts w:ascii="Times New Roman" w:hAnsi="Times New Roman" w:eastAsia="黑体"/>
          <w:color w:val="000000" w:themeColor="text1"/>
          <w:sz w:val="32"/>
          <w:szCs w:val="32"/>
        </w:rPr>
        <w:t>三、部门整体预算绩效管理情况</w:t>
      </w:r>
      <w:bookmarkEnd w:id="91"/>
    </w:p>
    <w:p>
      <w:pPr>
        <w:widowControl/>
        <w:adjustRightInd w:val="0"/>
        <w:snapToGrid w:val="0"/>
        <w:spacing w:line="580" w:lineRule="exact"/>
        <w:ind w:firstLine="400"/>
        <w:contextualSpacing/>
        <w:rPr>
          <w:rFonts w:ascii="楷体" w:hAnsi="楷体" w:eastAsia="楷体"/>
          <w:color w:val="000000"/>
          <w:sz w:val="32"/>
          <w:szCs w:val="32"/>
          <w:shd w:val="clear" w:color="auto" w:fill="FFFFFF"/>
          <w:lang w:val="zh-CN"/>
        </w:rPr>
      </w:pPr>
      <w:r>
        <w:rPr>
          <w:rFonts w:ascii="楷体" w:hAnsi="楷体" w:eastAsia="楷体"/>
          <w:color w:val="000000"/>
          <w:sz w:val="32"/>
          <w:szCs w:val="32"/>
          <w:shd w:val="clear" w:color="auto" w:fill="FFFFFF"/>
          <w:lang w:val="zh-CN"/>
        </w:rPr>
        <w:t>（一）部门预算项目绩效管理。</w:t>
      </w:r>
    </w:p>
    <w:p>
      <w:pPr>
        <w:adjustRightInd w:val="0"/>
        <w:snapToGrid w:val="0"/>
        <w:spacing w:line="600" w:lineRule="exact"/>
        <w:ind w:firstLine="640"/>
        <w:rPr>
          <w:rFonts w:eastAsia="仿宋_GB2312"/>
          <w:color w:val="000000" w:themeColor="text1"/>
          <w:sz w:val="32"/>
          <w:szCs w:val="32"/>
        </w:rPr>
      </w:pPr>
      <w:r>
        <w:rPr>
          <w:rFonts w:ascii="楷体" w:hAnsi="楷体" w:eastAsia="楷体"/>
          <w:color w:val="000000" w:themeColor="text1"/>
          <w:sz w:val="32"/>
          <w:szCs w:val="32"/>
        </w:rPr>
        <w:t>1</w:t>
      </w:r>
      <w:r>
        <w:rPr>
          <w:rFonts w:hint="eastAsia" w:ascii="仿宋_GB2312" w:eastAsia="仿宋_GB2312"/>
          <w:spacing w:val="3"/>
          <w:sz w:val="32"/>
          <w:szCs w:val="32"/>
        </w:rPr>
        <w:t>.</w:t>
      </w:r>
      <w:r>
        <w:rPr>
          <w:rFonts w:eastAsia="仿宋_GB2312"/>
          <w:color w:val="000000" w:themeColor="text1"/>
          <w:sz w:val="32"/>
          <w:szCs w:val="32"/>
        </w:rPr>
        <w:t>产出指标完成情况</w:t>
      </w:r>
    </w:p>
    <w:p>
      <w:pPr>
        <w:adjustRightInd w:val="0"/>
        <w:snapToGrid w:val="0"/>
        <w:spacing w:line="600" w:lineRule="exact"/>
        <w:ind w:firstLine="643"/>
        <w:rPr>
          <w:rFonts w:eastAsia="仿宋_GB2312"/>
          <w:color w:val="000000" w:themeColor="text1"/>
          <w:sz w:val="32"/>
          <w:szCs w:val="32"/>
        </w:rPr>
      </w:pPr>
      <w:r>
        <w:rPr>
          <w:rFonts w:eastAsia="仿宋_GB2312"/>
          <w:b/>
          <w:color w:val="000000" w:themeColor="text1"/>
          <w:sz w:val="32"/>
          <w:szCs w:val="32"/>
        </w:rPr>
        <w:t>数量指标。</w:t>
      </w:r>
      <w:r>
        <w:rPr>
          <w:rFonts w:eastAsia="仿宋_GB2312"/>
          <w:color w:val="000000" w:themeColor="text1"/>
          <w:sz w:val="32"/>
          <w:szCs w:val="32"/>
        </w:rPr>
        <w:t>保障委机关在职职工</w:t>
      </w:r>
      <w:r>
        <w:rPr>
          <w:rFonts w:hint="eastAsia" w:eastAsia="仿宋_GB2312"/>
          <w:color w:val="000000" w:themeColor="text1"/>
          <w:sz w:val="32"/>
          <w:szCs w:val="32"/>
        </w:rPr>
        <w:t>96</w:t>
      </w:r>
      <w:r>
        <w:rPr>
          <w:rFonts w:eastAsia="仿宋_GB2312"/>
          <w:color w:val="000000" w:themeColor="text1"/>
          <w:sz w:val="32"/>
          <w:szCs w:val="32"/>
        </w:rPr>
        <w:t>人，离退休职工8</w:t>
      </w:r>
      <w:r>
        <w:rPr>
          <w:rFonts w:hint="eastAsia" w:eastAsia="仿宋_GB2312"/>
          <w:color w:val="000000" w:themeColor="text1"/>
          <w:sz w:val="32"/>
          <w:szCs w:val="32"/>
        </w:rPr>
        <w:t>5</w:t>
      </w:r>
      <w:r>
        <w:rPr>
          <w:rFonts w:eastAsia="仿宋_GB2312"/>
          <w:color w:val="000000" w:themeColor="text1"/>
          <w:sz w:val="32"/>
          <w:szCs w:val="32"/>
        </w:rPr>
        <w:t>人的人员基本支出和机关基本运行经费。</w:t>
      </w:r>
    </w:p>
    <w:p>
      <w:pPr>
        <w:adjustRightInd w:val="0"/>
        <w:snapToGrid w:val="0"/>
        <w:spacing w:line="600" w:lineRule="exact"/>
        <w:ind w:firstLine="643"/>
        <w:outlineLvl w:val="2"/>
        <w:rPr>
          <w:rFonts w:eastAsia="仿宋_GB2312"/>
          <w:color w:val="000000" w:themeColor="text1"/>
          <w:sz w:val="32"/>
          <w:szCs w:val="32"/>
        </w:rPr>
      </w:pPr>
      <w:r>
        <w:rPr>
          <w:rFonts w:eastAsia="仿宋_GB2312"/>
          <w:b/>
          <w:color w:val="000000" w:themeColor="text1"/>
          <w:sz w:val="32"/>
          <w:szCs w:val="32"/>
        </w:rPr>
        <w:t>实效指标。</w:t>
      </w:r>
      <w:r>
        <w:rPr>
          <w:rFonts w:eastAsia="仿宋_GB2312"/>
          <w:color w:val="000000" w:themeColor="text1"/>
          <w:sz w:val="32"/>
          <w:szCs w:val="32"/>
        </w:rPr>
        <w:t>以上工作于202</w:t>
      </w:r>
      <w:r>
        <w:rPr>
          <w:rFonts w:hint="eastAsia" w:eastAsia="仿宋_GB2312"/>
          <w:color w:val="000000" w:themeColor="text1"/>
          <w:sz w:val="32"/>
          <w:szCs w:val="32"/>
        </w:rPr>
        <w:t>2</w:t>
      </w:r>
      <w:r>
        <w:rPr>
          <w:rFonts w:eastAsia="仿宋_GB2312"/>
          <w:color w:val="000000" w:themeColor="text1"/>
          <w:sz w:val="32"/>
          <w:szCs w:val="32"/>
        </w:rPr>
        <w:t>年全年完成。</w:t>
      </w:r>
    </w:p>
    <w:p>
      <w:pPr>
        <w:adjustRightInd w:val="0"/>
        <w:snapToGrid w:val="0"/>
        <w:spacing w:line="600" w:lineRule="exact"/>
        <w:ind w:firstLine="643"/>
        <w:rPr>
          <w:rFonts w:eastAsia="仿宋_GB2312"/>
          <w:b/>
          <w:color w:val="000000" w:themeColor="text1"/>
          <w:sz w:val="32"/>
          <w:szCs w:val="32"/>
        </w:rPr>
      </w:pPr>
      <w:r>
        <w:rPr>
          <w:rFonts w:eastAsia="仿宋_GB2312"/>
          <w:b/>
          <w:color w:val="000000" w:themeColor="text1"/>
          <w:sz w:val="32"/>
          <w:szCs w:val="32"/>
        </w:rPr>
        <w:t>成本指标。</w:t>
      </w:r>
      <w:r>
        <w:rPr>
          <w:rFonts w:eastAsia="仿宋_GB2312"/>
          <w:color w:val="000000" w:themeColor="text1"/>
          <w:sz w:val="32"/>
          <w:szCs w:val="32"/>
        </w:rPr>
        <w:t>202</w:t>
      </w:r>
      <w:r>
        <w:rPr>
          <w:rFonts w:hint="eastAsia" w:eastAsia="仿宋_GB2312"/>
          <w:color w:val="000000" w:themeColor="text1"/>
          <w:sz w:val="32"/>
          <w:szCs w:val="32"/>
        </w:rPr>
        <w:t>2</w:t>
      </w:r>
      <w:r>
        <w:rPr>
          <w:rFonts w:eastAsia="仿宋_GB2312"/>
          <w:color w:val="000000" w:themeColor="text1"/>
          <w:sz w:val="32"/>
          <w:szCs w:val="32"/>
        </w:rPr>
        <w:t>年初财政部门预算下达</w:t>
      </w:r>
      <w:r>
        <w:rPr>
          <w:rFonts w:hint="eastAsia" w:eastAsia="仿宋_GB2312"/>
          <w:color w:val="000000" w:themeColor="text1"/>
          <w:sz w:val="32"/>
          <w:szCs w:val="32"/>
        </w:rPr>
        <w:t>2442.76</w:t>
      </w:r>
      <w:r>
        <w:rPr>
          <w:rFonts w:eastAsia="仿宋_GB2312"/>
          <w:color w:val="000000" w:themeColor="text1"/>
          <w:sz w:val="32"/>
          <w:szCs w:val="32"/>
        </w:rPr>
        <w:t>万元，全年预算支出安排</w:t>
      </w:r>
      <w:r>
        <w:rPr>
          <w:rFonts w:hint="eastAsia" w:eastAsia="仿宋_GB2312"/>
          <w:color w:val="000000" w:themeColor="text1"/>
          <w:sz w:val="32"/>
          <w:szCs w:val="32"/>
        </w:rPr>
        <w:t>2442.76</w:t>
      </w:r>
      <w:r>
        <w:rPr>
          <w:rFonts w:eastAsia="仿宋_GB2312"/>
          <w:color w:val="000000" w:themeColor="text1"/>
          <w:sz w:val="32"/>
          <w:szCs w:val="32"/>
        </w:rPr>
        <w:t>万元，其中基本支出</w:t>
      </w:r>
      <w:r>
        <w:rPr>
          <w:rFonts w:hint="eastAsia" w:eastAsia="仿宋_GB2312"/>
          <w:color w:val="000000" w:themeColor="text1"/>
          <w:sz w:val="32"/>
          <w:szCs w:val="32"/>
        </w:rPr>
        <w:t>2442.76</w:t>
      </w:r>
      <w:r>
        <w:rPr>
          <w:rFonts w:eastAsia="仿宋_GB2312"/>
          <w:color w:val="000000" w:themeColor="text1"/>
          <w:sz w:val="32"/>
          <w:szCs w:val="32"/>
        </w:rPr>
        <w:t>万元，项目支出</w:t>
      </w:r>
      <w:r>
        <w:rPr>
          <w:rFonts w:hint="eastAsia" w:eastAsia="仿宋_GB2312"/>
          <w:color w:val="000000" w:themeColor="text1"/>
          <w:sz w:val="32"/>
          <w:szCs w:val="32"/>
        </w:rPr>
        <w:t>0</w:t>
      </w:r>
      <w:r>
        <w:rPr>
          <w:rFonts w:eastAsia="仿宋_GB2312"/>
          <w:color w:val="000000" w:themeColor="text1"/>
          <w:sz w:val="32"/>
          <w:szCs w:val="32"/>
        </w:rPr>
        <w:t>万元</w:t>
      </w:r>
      <w:r>
        <w:rPr>
          <w:rFonts w:hint="eastAsia" w:eastAsia="仿宋_GB2312"/>
          <w:color w:val="000000" w:themeColor="text1"/>
          <w:sz w:val="32"/>
          <w:szCs w:val="32"/>
        </w:rPr>
        <w:t>。部门预算</w:t>
      </w:r>
      <w:r>
        <w:rPr>
          <w:rFonts w:eastAsia="仿宋_GB2312"/>
          <w:color w:val="000000" w:themeColor="text1"/>
          <w:sz w:val="32"/>
          <w:szCs w:val="32"/>
        </w:rPr>
        <w:t>完成数为</w:t>
      </w:r>
      <w:r>
        <w:rPr>
          <w:rFonts w:hint="eastAsia" w:eastAsia="仿宋_GB2312"/>
          <w:color w:val="000000" w:themeColor="text1"/>
          <w:sz w:val="32"/>
          <w:szCs w:val="32"/>
        </w:rPr>
        <w:t>2442.76</w:t>
      </w:r>
      <w:r>
        <w:rPr>
          <w:rFonts w:eastAsia="仿宋_GB2312"/>
          <w:color w:val="000000" w:themeColor="text1"/>
          <w:sz w:val="32"/>
          <w:szCs w:val="32"/>
        </w:rPr>
        <w:t>万元，完成预算的100%。</w:t>
      </w:r>
      <w:r>
        <w:rPr>
          <w:rFonts w:hint="eastAsia" w:eastAsia="仿宋_GB2312"/>
          <w:color w:val="000000" w:themeColor="text1"/>
          <w:sz w:val="32"/>
          <w:szCs w:val="32"/>
        </w:rPr>
        <w:t>2022年部门预算</w:t>
      </w:r>
      <w:r>
        <w:rPr>
          <w:rFonts w:eastAsia="仿宋_GB2312"/>
          <w:color w:val="000000" w:themeColor="text1"/>
          <w:sz w:val="32"/>
          <w:szCs w:val="32"/>
        </w:rPr>
        <w:t>基本支出中，人员经费支出1770.98万元，公用经费支出288.35万元。</w:t>
      </w:r>
    </w:p>
    <w:p>
      <w:pPr>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2</w:t>
      </w:r>
      <w:r>
        <w:rPr>
          <w:rFonts w:hint="eastAsia" w:ascii="仿宋_GB2312" w:eastAsia="仿宋_GB2312"/>
          <w:spacing w:val="3"/>
          <w:sz w:val="32"/>
          <w:szCs w:val="32"/>
        </w:rPr>
        <w:t>.</w:t>
      </w:r>
      <w:r>
        <w:rPr>
          <w:rFonts w:hint="eastAsia" w:eastAsia="仿宋_GB2312"/>
          <w:color w:val="000000" w:themeColor="text1"/>
          <w:sz w:val="32"/>
          <w:szCs w:val="32"/>
        </w:rPr>
        <w:t>部门预算项目绩效目标管理情况</w:t>
      </w:r>
    </w:p>
    <w:p>
      <w:pPr>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部门预算项目目标制定上保证了部门绩效目标要素完整、细化量化并集体决策，具体表现在以下几个方面：</w:t>
      </w:r>
    </w:p>
    <w:p>
      <w:pPr>
        <w:adjustRightInd w:val="0"/>
        <w:snapToGrid w:val="0"/>
        <w:spacing w:line="600" w:lineRule="exact"/>
        <w:ind w:firstLine="643"/>
        <w:outlineLvl w:val="2"/>
        <w:rPr>
          <w:rFonts w:eastAsia="仿宋_GB2312"/>
          <w:color w:val="000000" w:themeColor="text1"/>
          <w:sz w:val="32"/>
          <w:szCs w:val="32"/>
        </w:rPr>
      </w:pPr>
      <w:r>
        <w:rPr>
          <w:rFonts w:eastAsia="仿宋_GB2312"/>
          <w:b/>
          <w:color w:val="000000" w:themeColor="text1"/>
          <w:sz w:val="32"/>
          <w:szCs w:val="32"/>
        </w:rPr>
        <w:t>经济效益方面。</w:t>
      </w:r>
      <w:r>
        <w:rPr>
          <w:rFonts w:eastAsia="仿宋_GB2312"/>
          <w:color w:val="000000" w:themeColor="text1"/>
          <w:sz w:val="32"/>
          <w:szCs w:val="32"/>
        </w:rPr>
        <w:t>推动经济稳定增长。全面加强宏观经济运行管理调度，推动全市经济呈现稳中向好、提速增效的良好态势，预计全市全年地区生产总值增长8.5-9%。抓项目促投资取得积极成效,预计全年全社会固定资产投资增长0.5个百分点左右，稳居全省第二方阵。开展3次</w:t>
      </w:r>
      <w:r>
        <w:rPr>
          <w:rFonts w:hint="eastAsia" w:eastAsia="仿宋_GB2312"/>
          <w:color w:val="000000" w:themeColor="text1"/>
          <w:sz w:val="32"/>
          <w:szCs w:val="32"/>
        </w:rPr>
        <w:t>以上</w:t>
      </w:r>
      <w:r>
        <w:rPr>
          <w:rFonts w:eastAsia="仿宋_GB2312"/>
          <w:color w:val="000000" w:themeColor="text1"/>
          <w:sz w:val="32"/>
          <w:szCs w:val="32"/>
        </w:rPr>
        <w:t>项目竞进拉练活动，与全省同步举行2次重大项目集中开工活动。增强重大项目资金保障，抓早谋划推动项目前期工作。</w:t>
      </w:r>
    </w:p>
    <w:p>
      <w:pPr>
        <w:adjustRightInd w:val="0"/>
        <w:snapToGrid w:val="0"/>
        <w:spacing w:line="600" w:lineRule="exact"/>
        <w:ind w:firstLine="643"/>
        <w:rPr>
          <w:rFonts w:eastAsia="仿宋_GB2312"/>
          <w:b/>
          <w:color w:val="000000" w:themeColor="text1"/>
          <w:sz w:val="32"/>
          <w:szCs w:val="32"/>
        </w:rPr>
      </w:pPr>
      <w:r>
        <w:rPr>
          <w:rFonts w:eastAsia="仿宋_GB2312"/>
          <w:b/>
          <w:color w:val="000000" w:themeColor="text1"/>
          <w:sz w:val="32"/>
          <w:szCs w:val="32"/>
        </w:rPr>
        <w:t>社会效益方面。</w:t>
      </w:r>
      <w:r>
        <w:rPr>
          <w:rFonts w:eastAsia="仿宋_GB2312"/>
          <w:color w:val="000000" w:themeColor="text1"/>
          <w:sz w:val="32"/>
          <w:szCs w:val="32"/>
        </w:rPr>
        <w:t>社会事业发展加快。积极推进攀枝花学院攀西战略资源开发产教融合实训基地、米易县人民医院等中央投资项目建设。编制了《攀枝花市建设积极应对人口老龄化重点联系城市工作方案》，经省级部门审查后作为四川省重点联系城市报国家；编制了《攀枝花市“一老一小”整体解决方案》。全市森林草原防灭火基础设施项目全部完工，专项整治任务全面完成。</w:t>
      </w:r>
    </w:p>
    <w:p>
      <w:pPr>
        <w:adjustRightInd w:val="0"/>
        <w:snapToGrid w:val="0"/>
        <w:spacing w:line="600" w:lineRule="exact"/>
        <w:ind w:firstLine="643"/>
        <w:rPr>
          <w:rFonts w:eastAsia="仿宋_GB2312"/>
          <w:b/>
          <w:color w:val="000000" w:themeColor="text1"/>
          <w:sz w:val="32"/>
          <w:szCs w:val="32"/>
        </w:rPr>
      </w:pPr>
      <w:r>
        <w:rPr>
          <w:rFonts w:eastAsia="仿宋_GB2312"/>
          <w:b/>
          <w:color w:val="000000" w:themeColor="text1"/>
          <w:sz w:val="32"/>
          <w:szCs w:val="32"/>
        </w:rPr>
        <w:t>可持续影响方面。</w:t>
      </w:r>
      <w:r>
        <w:rPr>
          <w:rFonts w:eastAsia="仿宋_GB2312"/>
          <w:color w:val="000000" w:themeColor="text1"/>
          <w:sz w:val="32"/>
          <w:szCs w:val="32"/>
        </w:rPr>
        <w:t>绿色低碳发展步伐加快。进一步加快推动节能降碳，编制完成《攀枝花市能耗等量和减量替代实施方案》，谋划实施重点项目能耗等量或减量替代；持续优化营商环境,</w:t>
      </w:r>
      <w:r>
        <w:rPr>
          <w:rFonts w:hint="eastAsia" w:eastAsia="仿宋_GB2312"/>
          <w:color w:val="000000" w:themeColor="text1"/>
          <w:sz w:val="32"/>
          <w:szCs w:val="32"/>
        </w:rPr>
        <w:t>完善</w:t>
      </w:r>
      <w:r>
        <w:rPr>
          <w:rFonts w:eastAsia="仿宋_GB2312"/>
          <w:color w:val="000000" w:themeColor="text1"/>
          <w:sz w:val="32"/>
          <w:szCs w:val="32"/>
        </w:rPr>
        <w:t>《攀枝花市2021年营商环境优化提升行动方案》，制定《攀枝花市优化营商环境考核细则》，将市级</w:t>
      </w:r>
      <w:r>
        <w:rPr>
          <w:rFonts w:hint="eastAsia" w:eastAsia="仿宋_GB2312"/>
          <w:color w:val="000000" w:themeColor="text1"/>
          <w:sz w:val="32"/>
          <w:szCs w:val="32"/>
        </w:rPr>
        <w:t>部分</w:t>
      </w:r>
      <w:r>
        <w:rPr>
          <w:rFonts w:eastAsia="仿宋_GB2312"/>
          <w:color w:val="000000" w:themeColor="text1"/>
          <w:sz w:val="32"/>
          <w:szCs w:val="32"/>
        </w:rPr>
        <w:t>部门、县（区）和“两城”营商环境工作纳入年度目标绩效考核。</w:t>
      </w:r>
    </w:p>
    <w:p>
      <w:pPr>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3</w:t>
      </w:r>
      <w:r>
        <w:rPr>
          <w:rFonts w:hint="eastAsia" w:ascii="仿宋_GB2312" w:eastAsia="仿宋_GB2312"/>
          <w:spacing w:val="3"/>
          <w:sz w:val="32"/>
          <w:szCs w:val="32"/>
        </w:rPr>
        <w:t>.</w:t>
      </w:r>
      <w:r>
        <w:rPr>
          <w:rFonts w:hint="eastAsia" w:eastAsia="仿宋_GB2312"/>
          <w:color w:val="000000" w:themeColor="text1"/>
          <w:sz w:val="32"/>
          <w:szCs w:val="32"/>
        </w:rPr>
        <w:t>部门预算项目绩效完成效率</w:t>
      </w:r>
    </w:p>
    <w:p>
      <w:pPr>
        <w:adjustRightInd w:val="0"/>
        <w:snapToGrid w:val="0"/>
        <w:spacing w:line="600" w:lineRule="exact"/>
        <w:ind w:firstLine="640"/>
        <w:rPr>
          <w:rFonts w:eastAsia="仿宋_GB2312"/>
          <w:bCs/>
          <w:color w:val="000000" w:themeColor="text1"/>
          <w:sz w:val="32"/>
          <w:szCs w:val="32"/>
        </w:rPr>
      </w:pPr>
      <w:r>
        <w:rPr>
          <w:rFonts w:hint="eastAsia" w:eastAsia="仿宋_GB2312"/>
          <w:color w:val="000000" w:themeColor="text1"/>
          <w:sz w:val="32"/>
          <w:szCs w:val="32"/>
        </w:rPr>
        <w:t>2022年初部门预算安排项目支出0万元，追加安排265.60万元，追加预算完成数为265.60万元，预算执行率为100%。我委在专项预算支出执行后，</w:t>
      </w:r>
      <w:r>
        <w:rPr>
          <w:rFonts w:eastAsia="仿宋_GB2312"/>
          <w:color w:val="000000" w:themeColor="text1"/>
          <w:sz w:val="32"/>
          <w:szCs w:val="32"/>
        </w:rPr>
        <w:t>对管理对象以及社会公众进行了满意度调查。根据调查结果，相关协作部门的平均满意度和管理对象的平均满意度有所提升，社会公众的平均满意度较高。</w:t>
      </w:r>
    </w:p>
    <w:p>
      <w:pPr>
        <w:widowControl/>
        <w:adjustRightInd w:val="0"/>
        <w:snapToGrid w:val="0"/>
        <w:spacing w:line="580" w:lineRule="exact"/>
        <w:ind w:firstLine="400"/>
        <w:contextualSpacing/>
        <w:rPr>
          <w:rFonts w:ascii="楷体" w:hAnsi="楷体" w:eastAsia="楷体"/>
          <w:color w:val="000000"/>
          <w:sz w:val="32"/>
          <w:szCs w:val="32"/>
          <w:shd w:val="clear" w:color="auto" w:fill="FFFFFF"/>
          <w:lang w:val="zh-CN"/>
        </w:rPr>
      </w:pPr>
      <w:r>
        <w:rPr>
          <w:rFonts w:hint="eastAsia" w:ascii="楷体" w:hAnsi="楷体" w:eastAsia="楷体"/>
          <w:color w:val="000000"/>
          <w:sz w:val="32"/>
          <w:szCs w:val="32"/>
          <w:shd w:val="clear" w:color="auto" w:fill="FFFFFF"/>
          <w:lang w:val="zh-CN"/>
        </w:rPr>
        <w:t>（二）</w:t>
      </w:r>
      <w:r>
        <w:rPr>
          <w:rFonts w:ascii="楷体" w:hAnsi="楷体" w:eastAsia="楷体"/>
          <w:color w:val="000000"/>
          <w:sz w:val="32"/>
          <w:szCs w:val="32"/>
          <w:shd w:val="clear" w:color="auto" w:fill="FFFFFF"/>
          <w:lang w:val="zh-CN"/>
        </w:rPr>
        <w:t>专项</w:t>
      </w:r>
      <w:r>
        <w:rPr>
          <w:rFonts w:hint="eastAsia" w:ascii="楷体" w:hAnsi="楷体" w:eastAsia="楷体"/>
          <w:color w:val="000000"/>
          <w:sz w:val="32"/>
          <w:szCs w:val="32"/>
          <w:shd w:val="clear" w:color="auto" w:fill="FFFFFF"/>
          <w:lang w:val="zh-CN"/>
        </w:rPr>
        <w:t>预算项目自评情况及结果应用。</w:t>
      </w:r>
    </w:p>
    <w:p>
      <w:pPr>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2022年，市发展改革委完成财政预算项目支出265.60万元，其中50万元以上的专项预算项目有两个：</w:t>
      </w:r>
      <w:r>
        <w:rPr>
          <w:rFonts w:hint="eastAsia" w:eastAsia="仿宋_GB2312"/>
          <w:b/>
          <w:color w:val="000000" w:themeColor="text1"/>
          <w:sz w:val="32"/>
          <w:szCs w:val="32"/>
        </w:rPr>
        <w:t>一是</w:t>
      </w:r>
      <w:r>
        <w:rPr>
          <w:rFonts w:hint="eastAsia" w:eastAsia="仿宋_GB2312"/>
          <w:color w:val="000000" w:themeColor="text1"/>
          <w:sz w:val="32"/>
          <w:szCs w:val="32"/>
        </w:rPr>
        <w:t>《攀枝花市十四五规划纲要》编制余款经费74.30万元，编制单位按照合同约定提供编制成果，成果符合合同预定的质量标准、进度计划、成本控制目标，并经过市政府常务会议、市委常委会会议审定，于2021年1月通过市人代会审查，并于2021年4月以市政府名义印发实施。规划《攀枝花市十四五规划纲要》具有战略性、前瞻性、指导性，明确了攀枝花市“十四五”期间及2035年远景目标和主要任务，是政府履行经济调节、市场监管、社会治理、环境保护、公共安全和公共服务职责的重要依据，是引导市场主体自主决策的重要参考；</w:t>
      </w:r>
      <w:r>
        <w:rPr>
          <w:rFonts w:hint="eastAsia" w:eastAsia="仿宋_GB2312"/>
          <w:b/>
          <w:color w:val="000000" w:themeColor="text1"/>
          <w:sz w:val="32"/>
          <w:szCs w:val="32"/>
        </w:rPr>
        <w:t>二是</w:t>
      </w:r>
      <w:r>
        <w:rPr>
          <w:rFonts w:hint="eastAsia" w:eastAsia="仿宋_GB2312"/>
          <w:color w:val="000000" w:themeColor="text1"/>
          <w:sz w:val="32"/>
          <w:szCs w:val="32"/>
        </w:rPr>
        <w:t>国家物流枢纽建设专项课题研究编制服务费89.40万元，</w:t>
      </w:r>
      <w:r>
        <w:rPr>
          <w:rFonts w:eastAsia="仿宋_GB2312"/>
          <w:color w:val="000000" w:themeColor="text1"/>
          <w:sz w:val="32"/>
          <w:szCs w:val="32"/>
        </w:rPr>
        <w:t>项目已编制完成《攀枝花生产服务型国家物流枢纽建设方案》，形成《攀枝花市“十四五”现代物流业发展规划》《攀枝花市“十四五”冷链物流发展规划》初稿</w:t>
      </w:r>
      <w:r>
        <w:rPr>
          <w:rFonts w:hint="eastAsia" w:eastAsia="仿宋_GB2312"/>
          <w:color w:val="000000" w:themeColor="text1"/>
          <w:sz w:val="32"/>
          <w:szCs w:val="32"/>
        </w:rPr>
        <w:t>，</w:t>
      </w:r>
      <w:r>
        <w:rPr>
          <w:rFonts w:eastAsia="仿宋_GB2312"/>
          <w:color w:val="000000" w:themeColor="text1"/>
          <w:sz w:val="32"/>
          <w:szCs w:val="32"/>
        </w:rPr>
        <w:t>推进符合进度要求。方案及规划编制，全面确定我</w:t>
      </w:r>
      <w:r>
        <w:rPr>
          <w:rFonts w:hint="eastAsia" w:eastAsia="仿宋_GB2312"/>
          <w:color w:val="000000" w:themeColor="text1"/>
          <w:sz w:val="32"/>
          <w:szCs w:val="32"/>
        </w:rPr>
        <w:t>市</w:t>
      </w:r>
      <w:r>
        <w:rPr>
          <w:rFonts w:eastAsia="仿宋_GB2312"/>
          <w:color w:val="000000" w:themeColor="text1"/>
          <w:sz w:val="32"/>
          <w:szCs w:val="32"/>
        </w:rPr>
        <w:t>物流产业发展布局，是落实市委构建“3+1”现代服务业体系的重要落实举措，有利于更好的推动打造枢纽经济。</w:t>
      </w:r>
    </w:p>
    <w:p>
      <w:pPr>
        <w:widowControl/>
        <w:adjustRightInd w:val="0"/>
        <w:snapToGrid w:val="0"/>
        <w:spacing w:line="580" w:lineRule="exact"/>
        <w:ind w:firstLine="640"/>
        <w:contextualSpacing/>
        <w:rPr>
          <w:rFonts w:ascii="楷体" w:hAnsi="楷体" w:eastAsia="楷体"/>
          <w:color w:val="000000"/>
          <w:sz w:val="32"/>
          <w:szCs w:val="32"/>
          <w:shd w:val="clear" w:color="auto" w:fill="FFFFFF"/>
          <w:lang w:val="zh-CN"/>
        </w:rPr>
      </w:pPr>
      <w:r>
        <w:rPr>
          <w:rFonts w:hint="eastAsia" w:ascii="楷体" w:hAnsi="楷体" w:eastAsia="楷体"/>
          <w:color w:val="000000"/>
          <w:sz w:val="32"/>
          <w:szCs w:val="32"/>
          <w:shd w:val="clear" w:color="auto" w:fill="FFFFFF"/>
          <w:lang w:val="zh-CN"/>
        </w:rPr>
        <w:t>（三）</w:t>
      </w:r>
      <w:r>
        <w:rPr>
          <w:rFonts w:ascii="楷体" w:hAnsi="楷体" w:eastAsia="楷体"/>
          <w:color w:val="000000"/>
          <w:sz w:val="32"/>
          <w:szCs w:val="32"/>
          <w:shd w:val="clear" w:color="auto" w:fill="FFFFFF"/>
          <w:lang w:val="zh-CN"/>
        </w:rPr>
        <w:t>部门预算项目绩效</w:t>
      </w:r>
      <w:r>
        <w:rPr>
          <w:rFonts w:hint="eastAsia" w:ascii="楷体" w:hAnsi="楷体" w:eastAsia="楷体"/>
          <w:color w:val="000000"/>
          <w:sz w:val="32"/>
          <w:szCs w:val="32"/>
          <w:shd w:val="clear" w:color="auto" w:fill="FFFFFF"/>
          <w:lang w:val="zh-CN"/>
        </w:rPr>
        <w:t>自评质量</w:t>
      </w:r>
    </w:p>
    <w:p>
      <w:pPr>
        <w:pStyle w:val="9"/>
        <w:adjustRightInd w:val="0"/>
        <w:snapToGrid w:val="0"/>
        <w:spacing w:line="600" w:lineRule="exact"/>
        <w:ind w:firstLine="640" w:firstLineChars="200"/>
        <w:rPr>
          <w:rFonts w:ascii="Times New Roman" w:hAnsi="Times New Roman" w:eastAsia="仿宋_GB2312"/>
          <w:color w:val="000000" w:themeColor="text1"/>
          <w:sz w:val="32"/>
          <w:szCs w:val="32"/>
        </w:rPr>
      </w:pPr>
      <w:r>
        <w:rPr>
          <w:rFonts w:eastAsia="仿宋_GB2312"/>
          <w:color w:val="000000" w:themeColor="text1"/>
          <w:sz w:val="32"/>
          <w:szCs w:val="32"/>
        </w:rPr>
        <w:t>202</w:t>
      </w:r>
      <w:r>
        <w:rPr>
          <w:rFonts w:hint="eastAsia" w:eastAsia="仿宋_GB2312"/>
          <w:color w:val="000000" w:themeColor="text1"/>
          <w:sz w:val="32"/>
          <w:szCs w:val="32"/>
        </w:rPr>
        <w:t>2</w:t>
      </w:r>
      <w:r>
        <w:rPr>
          <w:rFonts w:eastAsia="仿宋_GB2312"/>
          <w:color w:val="000000" w:themeColor="text1"/>
          <w:sz w:val="32"/>
          <w:szCs w:val="32"/>
        </w:rPr>
        <w:t>年，</w:t>
      </w:r>
      <w:r>
        <w:rPr>
          <w:rFonts w:hint="eastAsia" w:eastAsia="仿宋_GB2312"/>
          <w:color w:val="000000" w:themeColor="text1"/>
          <w:sz w:val="32"/>
          <w:szCs w:val="32"/>
        </w:rPr>
        <w:t>市发展改革委</w:t>
      </w:r>
      <w:r>
        <w:rPr>
          <w:rFonts w:eastAsia="仿宋_GB2312"/>
          <w:color w:val="000000" w:themeColor="text1"/>
          <w:sz w:val="32"/>
          <w:szCs w:val="32"/>
        </w:rPr>
        <w:t>紧紧围绕部门预算绩效目标推进各项专项工作，实时监控部门预算执行情况，顺利完成各个项目资金年度绩效目标。</w:t>
      </w: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rPr>
        <w:t>2</w:t>
      </w:r>
      <w:r>
        <w:rPr>
          <w:rFonts w:ascii="Times New Roman" w:hAnsi="Times New Roman" w:eastAsia="仿宋_GB2312"/>
          <w:color w:val="000000" w:themeColor="text1"/>
          <w:sz w:val="32"/>
          <w:szCs w:val="32"/>
        </w:rPr>
        <w:t>年度部门预算同绩效目标一并在攀枝花市人民政府门户网站及攀枝花市发展和改革委员会门户网站上进行公开。202</w:t>
      </w:r>
      <w:r>
        <w:rPr>
          <w:rFonts w:hint="eastAsia" w:ascii="Times New Roman" w:hAnsi="Times New Roman" w:eastAsia="仿宋_GB2312"/>
          <w:color w:val="000000" w:themeColor="text1"/>
          <w:sz w:val="32"/>
          <w:szCs w:val="32"/>
        </w:rPr>
        <w:t>3</w:t>
      </w:r>
      <w:r>
        <w:rPr>
          <w:rFonts w:ascii="Times New Roman" w:hAnsi="Times New Roman" w:eastAsia="仿宋_GB2312"/>
          <w:color w:val="000000" w:themeColor="text1"/>
          <w:sz w:val="32"/>
          <w:szCs w:val="32"/>
        </w:rPr>
        <w:t>年4月</w:t>
      </w:r>
      <w:r>
        <w:rPr>
          <w:rFonts w:hint="eastAsia" w:eastAsia="仿宋_GB2312"/>
          <w:color w:val="000000" w:themeColor="text1"/>
          <w:sz w:val="32"/>
          <w:szCs w:val="32"/>
        </w:rPr>
        <w:t>市发展改革委</w:t>
      </w:r>
      <w:r>
        <w:rPr>
          <w:rFonts w:ascii="Times New Roman" w:hAnsi="Times New Roman" w:eastAsia="仿宋_GB2312"/>
          <w:color w:val="000000" w:themeColor="text1"/>
          <w:sz w:val="32"/>
          <w:szCs w:val="32"/>
        </w:rPr>
        <w:t>对</w:t>
      </w:r>
      <w:r>
        <w:rPr>
          <w:rFonts w:hint="eastAsia" w:ascii="Times New Roman" w:hAnsi="Times New Roman" w:eastAsia="仿宋_GB2312"/>
          <w:color w:val="000000" w:themeColor="text1"/>
          <w:sz w:val="32"/>
          <w:szCs w:val="32"/>
        </w:rPr>
        <w:t>2022年度</w:t>
      </w:r>
      <w:r>
        <w:rPr>
          <w:rFonts w:ascii="Times New Roman" w:hAnsi="Times New Roman" w:eastAsia="仿宋_GB2312"/>
          <w:color w:val="000000" w:themeColor="text1"/>
          <w:sz w:val="32"/>
          <w:szCs w:val="32"/>
        </w:rPr>
        <w:t>部门整体支出绩效进行了自评，并</w:t>
      </w:r>
      <w:r>
        <w:rPr>
          <w:rFonts w:hint="eastAsia" w:ascii="Times New Roman" w:hAnsi="Times New Roman" w:eastAsia="仿宋_GB2312"/>
          <w:color w:val="000000" w:themeColor="text1"/>
          <w:sz w:val="32"/>
          <w:szCs w:val="32"/>
        </w:rPr>
        <w:t>按财政相关要求将</w:t>
      </w:r>
      <w:r>
        <w:rPr>
          <w:rFonts w:ascii="Times New Roman" w:hAnsi="Times New Roman" w:eastAsia="仿宋_GB2312"/>
          <w:color w:val="000000" w:themeColor="text1"/>
          <w:sz w:val="32"/>
          <w:szCs w:val="32"/>
        </w:rPr>
        <w:t>自评结果在攀枝花市</w:t>
      </w:r>
      <w:r>
        <w:rPr>
          <w:rFonts w:hint="eastAsia" w:ascii="Times New Roman" w:hAnsi="Times New Roman" w:eastAsia="仿宋_GB2312"/>
          <w:color w:val="000000" w:themeColor="text1"/>
          <w:sz w:val="32"/>
          <w:szCs w:val="32"/>
        </w:rPr>
        <w:t>发展和改革委员会</w:t>
      </w:r>
      <w:r>
        <w:rPr>
          <w:rFonts w:ascii="Times New Roman" w:hAnsi="Times New Roman" w:eastAsia="仿宋_GB2312"/>
          <w:color w:val="000000" w:themeColor="text1"/>
          <w:sz w:val="32"/>
          <w:szCs w:val="32"/>
        </w:rPr>
        <w:t>门户网站上进行公开。</w:t>
      </w:r>
    </w:p>
    <w:p>
      <w:pPr>
        <w:pStyle w:val="9"/>
        <w:adjustRightInd w:val="0"/>
        <w:snapToGrid w:val="0"/>
        <w:spacing w:line="600" w:lineRule="exact"/>
        <w:ind w:firstLine="640" w:firstLineChars="200"/>
        <w:outlineLvl w:val="1"/>
        <w:rPr>
          <w:rFonts w:ascii="Times New Roman" w:hAnsi="Times New Roman" w:eastAsia="黑体"/>
          <w:color w:val="000000" w:themeColor="text1"/>
          <w:sz w:val="32"/>
          <w:szCs w:val="32"/>
        </w:rPr>
      </w:pPr>
      <w:bookmarkStart w:id="92" w:name="_Toc15812"/>
      <w:r>
        <w:rPr>
          <w:rFonts w:ascii="Times New Roman" w:hAnsi="Times New Roman" w:eastAsia="黑体"/>
          <w:color w:val="000000" w:themeColor="text1"/>
          <w:sz w:val="32"/>
          <w:szCs w:val="32"/>
        </w:rPr>
        <w:t>四、</w:t>
      </w:r>
      <w:r>
        <w:rPr>
          <w:rFonts w:hint="eastAsia" w:ascii="Times New Roman" w:hAnsi="Times New Roman" w:eastAsia="黑体"/>
          <w:color w:val="000000" w:themeColor="text1"/>
          <w:sz w:val="32"/>
          <w:szCs w:val="32"/>
        </w:rPr>
        <w:t>评价结论及建议</w:t>
      </w:r>
      <w:bookmarkEnd w:id="92"/>
    </w:p>
    <w:p>
      <w:pPr>
        <w:widowControl/>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市发展改革委</w:t>
      </w:r>
      <w:r>
        <w:rPr>
          <w:rFonts w:eastAsia="仿宋_GB2312"/>
          <w:color w:val="000000" w:themeColor="text1"/>
          <w:sz w:val="32"/>
          <w:szCs w:val="32"/>
        </w:rPr>
        <w:t>按要求认真开展预算资金绩效评价工作，不断完善全过程绩效管理，在职人员控制率在编制控制范围内。“三公经费”控制率100%，经费结余控制较好；预算执行较上年有了大幅进步，预算完成率为100%；公用经费控制率100%，政府采购网上竞价、涉密采购及零星需求履行内部采购程序，实现了应采尽采。</w:t>
      </w:r>
      <w:r>
        <w:rPr>
          <w:rFonts w:hint="eastAsia" w:eastAsia="仿宋_GB2312"/>
          <w:color w:val="000000" w:themeColor="text1"/>
          <w:sz w:val="32"/>
          <w:szCs w:val="32"/>
        </w:rPr>
        <w:t>市发展改革委</w:t>
      </w:r>
      <w:r>
        <w:rPr>
          <w:rFonts w:eastAsia="仿宋_GB2312"/>
          <w:color w:val="000000" w:themeColor="text1"/>
          <w:sz w:val="32"/>
          <w:szCs w:val="32"/>
        </w:rPr>
        <w:t>加强各个项目资金的执行进度，202</w:t>
      </w:r>
      <w:r>
        <w:rPr>
          <w:rFonts w:hint="eastAsia" w:eastAsia="仿宋_GB2312"/>
          <w:color w:val="000000" w:themeColor="text1"/>
          <w:sz w:val="32"/>
          <w:szCs w:val="32"/>
        </w:rPr>
        <w:t>3</w:t>
      </w:r>
      <w:r>
        <w:rPr>
          <w:rFonts w:eastAsia="仿宋_GB2312"/>
          <w:color w:val="000000" w:themeColor="text1"/>
          <w:sz w:val="32"/>
          <w:szCs w:val="32"/>
        </w:rPr>
        <w:t>年项目预算支出全部按期完成，沉淀进一步减少，财政资金使用效益不断提高。年末</w:t>
      </w:r>
      <w:r>
        <w:rPr>
          <w:rFonts w:hint="eastAsia" w:eastAsia="仿宋_GB2312"/>
          <w:color w:val="000000" w:themeColor="text1"/>
          <w:sz w:val="32"/>
          <w:szCs w:val="32"/>
        </w:rPr>
        <w:t>无</w:t>
      </w:r>
      <w:r>
        <w:rPr>
          <w:rFonts w:eastAsia="仿宋_GB2312"/>
          <w:color w:val="000000" w:themeColor="text1"/>
          <w:sz w:val="32"/>
          <w:szCs w:val="32"/>
        </w:rPr>
        <w:t>财政结余资金，结余资金占比同比大幅下降，预算控制率同比下降。</w:t>
      </w:r>
    </w:p>
    <w:p>
      <w:pPr>
        <w:pStyle w:val="16"/>
        <w:spacing w:line="560" w:lineRule="exact"/>
        <w:ind w:left="0" w:leftChars="0" w:firstLine="0" w:firstLineChars="0"/>
        <w:rPr>
          <w:sz w:val="32"/>
        </w:rPr>
      </w:pPr>
    </w:p>
    <w:p>
      <w:pPr>
        <w:pStyle w:val="2"/>
        <w:spacing w:before="93"/>
        <w:rPr>
          <w:rFonts w:hAnsi="宋体"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sz w:val="32"/>
          <w:szCs w:val="32"/>
        </w:rPr>
      </w:pPr>
      <w:r>
        <w:rPr>
          <w:rFonts w:hint="eastAsia" w:ascii="仿宋" w:hAnsi="仿宋" w:eastAsia="仿宋" w:cs="宋体"/>
          <w:sz w:val="32"/>
          <w:szCs w:val="32"/>
          <w:shd w:val="clear" w:color="auto" w:fill="FFFFFF"/>
          <w:lang w:val="zh-CN"/>
        </w:rPr>
        <w:t>附件</w:t>
      </w:r>
      <w:r>
        <w:rPr>
          <w:rFonts w:hint="eastAsia" w:ascii="仿宋" w:hAnsi="仿宋" w:eastAsia="仿宋" w:cs="宋体"/>
          <w:sz w:val="32"/>
          <w:szCs w:val="32"/>
          <w:shd w:val="clear" w:color="auto" w:fill="FFFFFF"/>
        </w:rPr>
        <w:t>2-1</w:t>
      </w:r>
    </w:p>
    <w:p>
      <w:pPr>
        <w:pStyle w:val="37"/>
        <w:spacing w:line="600" w:lineRule="exact"/>
        <w:jc w:val="center"/>
        <w:rPr>
          <w:rFonts w:ascii="方正小标宋_GBK" w:hAnsi="方正小标宋_GBK" w:eastAsia="方正小标宋_GBK"/>
          <w:color w:val="auto"/>
          <w:kern w:val="2"/>
          <w:sz w:val="36"/>
          <w:szCs w:val="36"/>
        </w:rPr>
      </w:pPr>
      <w:r>
        <w:rPr>
          <w:rFonts w:ascii="方正小标宋_GBK" w:hAnsi="方正小标宋_GBK" w:eastAsia="方正小标宋_GBK"/>
          <w:color w:val="auto"/>
          <w:kern w:val="2"/>
          <w:sz w:val="36"/>
          <w:szCs w:val="36"/>
          <w:lang w:val="en-US"/>
        </w:rPr>
        <w:t>202</w:t>
      </w:r>
      <w:r>
        <w:rPr>
          <w:rFonts w:hint="eastAsia" w:ascii="方正小标宋_GBK" w:hAnsi="方正小标宋_GBK" w:eastAsia="方正小标宋_GBK"/>
          <w:color w:val="auto"/>
          <w:kern w:val="2"/>
          <w:sz w:val="36"/>
          <w:szCs w:val="36"/>
          <w:lang w:val="en-US"/>
        </w:rPr>
        <w:t>2</w:t>
      </w:r>
      <w:r>
        <w:rPr>
          <w:rFonts w:ascii="方正小标宋_GBK" w:hAnsi="方正小标宋_GBK" w:eastAsia="方正小标宋_GBK"/>
          <w:color w:val="auto"/>
          <w:kern w:val="2"/>
          <w:sz w:val="36"/>
          <w:szCs w:val="36"/>
          <w:lang w:val="en-US"/>
        </w:rPr>
        <w:t>年</w:t>
      </w:r>
      <w:r>
        <w:rPr>
          <w:rFonts w:ascii="方正小标宋_GBK" w:hAnsi="方正小标宋_GBK" w:eastAsia="方正小标宋_GBK"/>
          <w:color w:val="auto"/>
          <w:kern w:val="2"/>
          <w:sz w:val="36"/>
          <w:szCs w:val="36"/>
        </w:rPr>
        <w:t>专项预算项目支出绩效自评报告</w:t>
      </w:r>
    </w:p>
    <w:p>
      <w:pPr>
        <w:pStyle w:val="37"/>
        <w:spacing w:line="600" w:lineRule="exact"/>
        <w:jc w:val="center"/>
        <w:rPr>
          <w:rFonts w:ascii="方正小标宋_GBK" w:hAnsi="方正小标宋_GBK" w:eastAsia="方正小标宋_GBK"/>
          <w:color w:val="auto"/>
          <w:kern w:val="2"/>
          <w:sz w:val="36"/>
          <w:szCs w:val="36"/>
        </w:rPr>
      </w:pPr>
      <w:r>
        <w:rPr>
          <w:rFonts w:ascii="方正小标宋_GBK" w:hAnsi="方正小标宋_GBK" w:eastAsia="方正小标宋_GBK"/>
          <w:color w:val="auto"/>
          <w:kern w:val="2"/>
          <w:sz w:val="36"/>
          <w:szCs w:val="36"/>
        </w:rPr>
        <w:t>（</w:t>
      </w:r>
      <w:r>
        <w:rPr>
          <w:rFonts w:hint="eastAsia" w:ascii="方正小标宋_GBK" w:hAnsi="方正小标宋_GBK" w:eastAsia="方正小标宋_GBK"/>
          <w:color w:val="auto"/>
          <w:kern w:val="2"/>
          <w:sz w:val="36"/>
          <w:szCs w:val="36"/>
        </w:rPr>
        <w:t>国家物流枢纽建设专项课题研究编制服务费</w:t>
      </w:r>
    </w:p>
    <w:p>
      <w:pPr>
        <w:pStyle w:val="37"/>
        <w:spacing w:line="600" w:lineRule="exact"/>
        <w:ind w:firstLine="883"/>
        <w:jc w:val="center"/>
        <w:rPr>
          <w:rFonts w:ascii="方正小标宋_GBK" w:hAnsi="方正小标宋_GBK" w:eastAsia="方正小标宋_GBK"/>
          <w:color w:val="auto"/>
          <w:kern w:val="2"/>
          <w:sz w:val="36"/>
          <w:szCs w:val="36"/>
        </w:rPr>
      </w:pPr>
      <w:r>
        <w:rPr>
          <w:rFonts w:hint="eastAsia" w:ascii="方正小标宋_GBK" w:hAnsi="方正小标宋_GBK" w:eastAsia="方正小标宋_GBK"/>
          <w:color w:val="auto"/>
          <w:kern w:val="2"/>
          <w:sz w:val="36"/>
          <w:szCs w:val="36"/>
        </w:rPr>
        <w:t>项目</w:t>
      </w:r>
      <w:r>
        <w:rPr>
          <w:rFonts w:ascii="方正小标宋_GBK" w:hAnsi="方正小标宋_GBK" w:eastAsia="方正小标宋_GBK"/>
          <w:color w:val="auto"/>
          <w:kern w:val="2"/>
          <w:sz w:val="36"/>
          <w:szCs w:val="36"/>
        </w:rPr>
        <w:t>主管部门自评）</w:t>
      </w:r>
    </w:p>
    <w:p>
      <w:pPr>
        <w:adjustRightInd w:val="0"/>
        <w:snapToGrid w:val="0"/>
        <w:spacing w:line="600" w:lineRule="exact"/>
        <w:ind w:firstLine="720"/>
        <w:outlineLvl w:val="1"/>
        <w:rPr>
          <w:rFonts w:ascii="黑体" w:hAnsi="黑体" w:eastAsia="黑体"/>
          <w:sz w:val="32"/>
          <w:szCs w:val="32"/>
          <w:lang w:val="zh-CN"/>
        </w:rPr>
      </w:pPr>
      <w:bookmarkStart w:id="93" w:name="_Toc19460"/>
      <w:r>
        <w:rPr>
          <w:rFonts w:ascii="黑体" w:hAnsi="黑体" w:eastAsia="黑体"/>
          <w:sz w:val="32"/>
          <w:szCs w:val="32"/>
        </w:rPr>
        <w:t>一、</w:t>
      </w:r>
      <w:r>
        <w:rPr>
          <w:rFonts w:ascii="黑体" w:hAnsi="黑体" w:eastAsia="黑体"/>
          <w:sz w:val="32"/>
          <w:szCs w:val="32"/>
          <w:lang w:val="zh-CN"/>
        </w:rPr>
        <w:t>项目概况</w:t>
      </w:r>
      <w:bookmarkEnd w:id="93"/>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（一）项目基本情况。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市发展改革委作为国家物流枢纽建设的申报牵头单位和物流发展的统筹协调部门，启动</w:t>
      </w:r>
      <w:r>
        <w:rPr>
          <w:rFonts w:ascii="仿宋" w:hAnsi="仿宋" w:eastAsia="仿宋"/>
          <w:sz w:val="32"/>
          <w:szCs w:val="32"/>
          <w:lang w:val="zh-CN"/>
        </w:rPr>
        <w:t>《攀枝花市“十四五”现代物流业发展规划》《攀枝花市“十四五”冷链物流发展规划》《攀枝花生产服务型国家物流枢纽建设方案》课题编制。</w:t>
      </w:r>
      <w:r>
        <w:rPr>
          <w:rFonts w:ascii="仿宋" w:hAnsi="仿宋" w:eastAsia="仿宋"/>
          <w:sz w:val="32"/>
          <w:szCs w:val="32"/>
        </w:rPr>
        <w:t>2021年2月9日，上报《关于启动&lt;攀枝花生产服务型国家物流枢纽建设方案&gt;等修编相关工作的请示》（攀发改〔2021〕57号），请示市政府启动《攀枝花生产服务型国家物流枢纽建设方案》修编，以及《攀枝花市现代物流业发展研究》《攀枝花市“十四五”现代物流业发展规划》编制工作，并安排专项经费 300 万元，2021年7月30日，市政府主要领导签批同意。</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（二）项目绩效目标。</w:t>
      </w:r>
    </w:p>
    <w:p>
      <w:pPr>
        <w:adjustRightInd w:val="0"/>
        <w:snapToGrid w:val="0"/>
        <w:spacing w:line="560" w:lineRule="exact"/>
        <w:ind w:firstLine="720"/>
        <w:rPr>
          <w:rFonts w:ascii="仿宋" w:hAnsi="仿宋" w:eastAsia="仿宋"/>
          <w:sz w:val="32"/>
          <w:szCs w:val="32"/>
          <w:lang w:val="zh-CN"/>
        </w:rPr>
      </w:pPr>
      <w:r>
        <w:rPr>
          <w:rFonts w:ascii="仿宋" w:hAnsi="仿宋" w:eastAsia="仿宋"/>
          <w:sz w:val="32"/>
          <w:szCs w:val="32"/>
          <w:lang w:val="zh-CN"/>
        </w:rPr>
        <w:t>《攀枝花市“十四五”现代物流业发展规划》《攀枝花市“十四五”冷链物流发展规划》《攀枝花生产服务型国家物流枢纽建设方案》课题编制。按合同约定时限，完成三项课题编制，质量指标是立足区域发展实际，符合国家、省相关发展规划战略方向，并同时注重研究和规划的前瞻性、战略性和宏观特性。突出新发展理念，推动区域高质量协调发展，注意成果的可实施性和项目的支撑作用，做到目标科学、思路清晰、重点明确、措施可行，总成本不超</w:t>
      </w:r>
      <w:r>
        <w:rPr>
          <w:rFonts w:ascii="仿宋" w:hAnsi="仿宋" w:eastAsia="仿宋"/>
          <w:sz w:val="32"/>
          <w:szCs w:val="32"/>
        </w:rPr>
        <w:t>300万元，完善攀枝花市现代物流体系，成功申报国家物流枢纽年度建设名单，持续优化物流产业结构，物流企业满意度不低于95%。</w:t>
      </w:r>
      <w:r>
        <w:rPr>
          <w:rFonts w:ascii="仿宋" w:hAnsi="仿宋" w:eastAsia="仿宋"/>
          <w:sz w:val="32"/>
          <w:szCs w:val="32"/>
          <w:lang w:val="zh-CN"/>
        </w:rPr>
        <w:t>申报目标合理可行。</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（三）项目自评步骤及方法。</w:t>
      </w:r>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说明项目绩效自评采用的组织实施步骤及方法。</w:t>
      </w:r>
    </w:p>
    <w:p>
      <w:pPr>
        <w:adjustRightInd w:val="0"/>
        <w:snapToGrid w:val="0"/>
        <w:spacing w:line="600" w:lineRule="exact"/>
        <w:ind w:firstLine="720"/>
        <w:outlineLvl w:val="1"/>
        <w:rPr>
          <w:rFonts w:ascii="黑体" w:hAnsi="黑体" w:eastAsia="黑体"/>
          <w:sz w:val="32"/>
          <w:szCs w:val="32"/>
        </w:rPr>
      </w:pPr>
      <w:bookmarkStart w:id="94" w:name="_Toc29321"/>
      <w:r>
        <w:rPr>
          <w:rFonts w:ascii="黑体" w:hAnsi="黑体" w:eastAsia="黑体"/>
          <w:sz w:val="32"/>
          <w:szCs w:val="32"/>
        </w:rPr>
        <w:t>二、项目资金申报及使用情况</w:t>
      </w:r>
      <w:bookmarkEnd w:id="94"/>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（一）项目资金申报及批复情况。</w:t>
      </w:r>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rPr>
        <w:t>2021年2月9日，上报《关于启动&lt;攀枝花生产服务型国家物流枢纽建设方案&gt;等修编相关工作的请示》（攀发改〔2021〕57号），请示市政府启动《攀枝花生产服务型国家物流枢纽建设方案》修编，以及《攀枝花市现代物流业发展研究》《攀枝花市“十四五”现代物流业发展规划》编制工作，并安排专项经费 300 万元，2021年7月30日，市政府主要领导签批同意。</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（二）资金计划、到位及使用情况。</w:t>
      </w:r>
    </w:p>
    <w:p>
      <w:pPr>
        <w:adjustRightInd w:val="0"/>
        <w:snapToGrid w:val="0"/>
        <w:spacing w:line="560" w:lineRule="exact"/>
        <w:ind w:firstLine="720"/>
        <w:rPr>
          <w:rFonts w:ascii="仿宋" w:hAnsi="仿宋" w:eastAsia="仿宋"/>
          <w:sz w:val="32"/>
          <w:szCs w:val="32"/>
          <w:lang w:val="zh-CN"/>
        </w:rPr>
      </w:pPr>
      <w:r>
        <w:rPr>
          <w:rFonts w:ascii="仿宋" w:hAnsi="仿宋" w:eastAsia="仿宋"/>
          <w:sz w:val="32"/>
          <w:szCs w:val="32"/>
          <w:lang w:val="zh-CN"/>
        </w:rPr>
        <w:t>1．资金计划及到位。根据合同约定，资金下达</w:t>
      </w:r>
      <w:r>
        <w:rPr>
          <w:rFonts w:ascii="仿宋" w:hAnsi="仿宋" w:eastAsia="仿宋"/>
          <w:sz w:val="32"/>
          <w:szCs w:val="32"/>
        </w:rPr>
        <w:t>89.</w:t>
      </w:r>
      <w:r>
        <w:rPr>
          <w:rFonts w:hint="eastAsia" w:ascii="仿宋" w:hAnsi="仿宋" w:eastAsia="仿宋"/>
          <w:sz w:val="32"/>
          <w:szCs w:val="32"/>
        </w:rPr>
        <w:t>40</w:t>
      </w:r>
      <w:r>
        <w:rPr>
          <w:rFonts w:ascii="仿宋" w:hAnsi="仿宋" w:eastAsia="仿宋"/>
          <w:sz w:val="32"/>
          <w:szCs w:val="32"/>
        </w:rPr>
        <w:t>万元启动经费，资金到位率30%，按项目进度拨付到位及时。</w:t>
      </w:r>
    </w:p>
    <w:p>
      <w:pPr>
        <w:adjustRightInd w:val="0"/>
        <w:snapToGrid w:val="0"/>
        <w:spacing w:line="600" w:lineRule="exact"/>
        <w:ind w:firstLine="720"/>
        <w:rPr>
          <w:rFonts w:ascii="仿宋" w:hAnsi="仿宋" w:eastAsia="仿宋"/>
          <w:sz w:val="32"/>
          <w:szCs w:val="32"/>
        </w:rPr>
      </w:pPr>
      <w:r>
        <w:rPr>
          <w:rFonts w:ascii="仿宋" w:hAnsi="仿宋" w:eastAsia="仿宋"/>
          <w:sz w:val="32"/>
          <w:szCs w:val="32"/>
          <w:lang w:val="zh-CN"/>
        </w:rPr>
        <w:t>2．资金使用。截至目前，资金实际支出</w:t>
      </w:r>
      <w:r>
        <w:rPr>
          <w:rFonts w:ascii="仿宋" w:hAnsi="仿宋" w:eastAsia="仿宋"/>
          <w:sz w:val="32"/>
          <w:szCs w:val="32"/>
        </w:rPr>
        <w:t>89.</w:t>
      </w:r>
      <w:r>
        <w:rPr>
          <w:rFonts w:hint="eastAsia" w:ascii="仿宋" w:hAnsi="仿宋" w:eastAsia="仿宋"/>
          <w:sz w:val="32"/>
          <w:szCs w:val="32"/>
        </w:rPr>
        <w:t>40</w:t>
      </w:r>
      <w:r>
        <w:rPr>
          <w:rFonts w:ascii="仿宋" w:hAnsi="仿宋" w:eastAsia="仿宋"/>
          <w:sz w:val="32"/>
          <w:szCs w:val="32"/>
        </w:rPr>
        <w:t>万元，按合同约定支付项目合同金额30%的启动经费，支付依据合规合法，与预算相符。</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（三）项目财务管理情况。</w:t>
      </w:r>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outlineLvl w:val="1"/>
        <w:rPr>
          <w:rFonts w:ascii="黑体" w:hAnsi="黑体" w:eastAsia="黑体"/>
          <w:sz w:val="32"/>
          <w:szCs w:val="32"/>
        </w:rPr>
      </w:pPr>
      <w:bookmarkStart w:id="95" w:name="_Toc22362"/>
      <w:r>
        <w:rPr>
          <w:rFonts w:ascii="黑体" w:hAnsi="黑体" w:eastAsia="黑体"/>
          <w:sz w:val="32"/>
          <w:szCs w:val="32"/>
        </w:rPr>
        <w:t>三、项目实施及管理情况</w:t>
      </w:r>
      <w:bookmarkEnd w:id="95"/>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（一）项目组织架构及实施流程。</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（二）项目管理情况。</w:t>
      </w:r>
      <w:r>
        <w:rPr>
          <w:rFonts w:ascii="仿宋" w:hAnsi="仿宋" w:eastAsia="仿宋"/>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（三）项目监管情况。</w:t>
      </w:r>
      <w:r>
        <w:rPr>
          <w:rFonts w:ascii="仿宋" w:hAnsi="仿宋" w:eastAsia="仿宋"/>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rPr>
        <w:t>2021年11月17日，由委托代理招标机构四川思渠国际招标有限公司，按政府采购流程组织《攀枝花市“十四五”现代物流业发展规划》《攀枝花市“十四五”冷链物流发展规划》《攀枝花生产服务型国家物流枢纽建设方案》研究编制服务采购项目【项目编号：SQJC-2021-331】开标。《攀枝花市“十四五”现代物流业发展规划》《攀枝花市“十四五”冷链物流发展规划》《攀枝花生产服务型国家物流枢纽建设方案》研究编制服务采购项目【项目编号：SQJC-2021-331/ 510401202100082】评审工作于 2021 年 11 月 18 日完成并发出成交通知书，2021年12月与中标单位签订项目合同。</w:t>
      </w:r>
    </w:p>
    <w:p>
      <w:pPr>
        <w:adjustRightInd w:val="0"/>
        <w:snapToGrid w:val="0"/>
        <w:spacing w:line="600" w:lineRule="exact"/>
        <w:ind w:firstLine="720"/>
        <w:outlineLvl w:val="1"/>
        <w:rPr>
          <w:rFonts w:ascii="黑体" w:hAnsi="黑体" w:eastAsia="黑体"/>
          <w:sz w:val="32"/>
          <w:szCs w:val="32"/>
          <w:lang w:val="zh-CN"/>
        </w:rPr>
      </w:pPr>
      <w:bookmarkStart w:id="96" w:name="_Toc31543"/>
      <w:r>
        <w:rPr>
          <w:rFonts w:ascii="黑体" w:hAnsi="黑体" w:eastAsia="黑体"/>
          <w:sz w:val="32"/>
          <w:szCs w:val="32"/>
        </w:rPr>
        <w:t>四、项目绩效情况</w:t>
      </w:r>
      <w:bookmarkEnd w:id="96"/>
      <w:r>
        <w:rPr>
          <w:rFonts w:ascii="黑体" w:hAnsi="黑体" w:eastAsia="黑体"/>
          <w:sz w:val="32"/>
          <w:szCs w:val="32"/>
          <w:lang w:val="zh-CN"/>
        </w:rPr>
        <w:tab/>
      </w:r>
    </w:p>
    <w:p>
      <w:pPr>
        <w:adjustRightInd w:val="0"/>
        <w:snapToGrid w:val="0"/>
        <w:spacing w:line="560" w:lineRule="exact"/>
        <w:ind w:firstLine="720"/>
        <w:rPr>
          <w:rFonts w:ascii="仿宋" w:hAnsi="仿宋" w:eastAsia="仿宋"/>
          <w:b/>
          <w:sz w:val="32"/>
          <w:szCs w:val="32"/>
          <w:lang w:val="zh-CN"/>
        </w:rPr>
      </w:pPr>
      <w:r>
        <w:rPr>
          <w:rFonts w:ascii="仿宋" w:hAnsi="仿宋" w:eastAsia="仿宋"/>
          <w:b/>
          <w:sz w:val="32"/>
          <w:szCs w:val="32"/>
          <w:lang w:val="zh-CN"/>
        </w:rPr>
        <w:t>（一）项目完成情况。</w:t>
      </w:r>
    </w:p>
    <w:p>
      <w:pPr>
        <w:adjustRightInd w:val="0"/>
        <w:snapToGrid w:val="0"/>
        <w:spacing w:line="560" w:lineRule="exact"/>
        <w:ind w:firstLine="720"/>
        <w:rPr>
          <w:rFonts w:ascii="仿宋" w:hAnsi="仿宋" w:eastAsia="仿宋"/>
          <w:sz w:val="32"/>
          <w:szCs w:val="32"/>
          <w:lang w:val="zh-CN"/>
        </w:rPr>
      </w:pPr>
      <w:r>
        <w:rPr>
          <w:rFonts w:ascii="仿宋" w:hAnsi="仿宋" w:eastAsia="仿宋"/>
          <w:sz w:val="32"/>
          <w:szCs w:val="32"/>
          <w:lang w:val="zh-CN"/>
        </w:rPr>
        <w:t>项目已编制完成《攀枝花生产服务型国家物流枢纽建设方案》，形成《攀枝花市“十四五”现代物流业发展规划》《攀枝花市“十四五”冷链物流发展规划》初稿</w:t>
      </w:r>
      <w:r>
        <w:rPr>
          <w:rFonts w:hint="eastAsia" w:ascii="仿宋" w:hAnsi="仿宋" w:eastAsia="仿宋"/>
          <w:sz w:val="32"/>
          <w:szCs w:val="32"/>
          <w:lang w:val="zh-CN"/>
        </w:rPr>
        <w:t>，</w:t>
      </w:r>
      <w:r>
        <w:rPr>
          <w:rFonts w:ascii="仿宋" w:hAnsi="仿宋" w:eastAsia="仿宋"/>
          <w:sz w:val="32"/>
          <w:szCs w:val="32"/>
          <w:lang w:val="zh-CN"/>
        </w:rPr>
        <w:t>符合进度要求。</w:t>
      </w:r>
    </w:p>
    <w:p>
      <w:pPr>
        <w:adjustRightInd w:val="0"/>
        <w:snapToGrid w:val="0"/>
        <w:spacing w:line="560" w:lineRule="exact"/>
        <w:ind w:firstLine="720"/>
        <w:rPr>
          <w:rFonts w:ascii="仿宋" w:hAnsi="仿宋" w:eastAsia="仿宋"/>
          <w:b/>
          <w:sz w:val="32"/>
          <w:szCs w:val="32"/>
          <w:lang w:val="zh-CN"/>
        </w:rPr>
      </w:pPr>
      <w:r>
        <w:rPr>
          <w:rFonts w:ascii="仿宋" w:hAnsi="仿宋" w:eastAsia="仿宋"/>
          <w:b/>
          <w:sz w:val="32"/>
          <w:szCs w:val="32"/>
          <w:lang w:val="zh-CN"/>
        </w:rPr>
        <w:t>（二）项目效益情况。</w:t>
      </w:r>
    </w:p>
    <w:p>
      <w:pPr>
        <w:adjustRightInd w:val="0"/>
        <w:snapToGrid w:val="0"/>
        <w:spacing w:line="560" w:lineRule="exact"/>
        <w:ind w:firstLine="720"/>
        <w:rPr>
          <w:rFonts w:ascii="仿宋" w:hAnsi="仿宋" w:eastAsia="仿宋"/>
          <w:b/>
          <w:sz w:val="32"/>
          <w:szCs w:val="32"/>
          <w:lang w:val="zh-CN"/>
        </w:rPr>
      </w:pPr>
      <w:r>
        <w:rPr>
          <w:rFonts w:ascii="仿宋" w:hAnsi="仿宋" w:eastAsia="仿宋"/>
          <w:sz w:val="32"/>
          <w:szCs w:val="32"/>
          <w:lang w:val="zh-CN"/>
        </w:rPr>
        <w:t>方案及规划编制，全面确定我</w:t>
      </w:r>
      <w:r>
        <w:rPr>
          <w:rFonts w:hint="eastAsia" w:ascii="仿宋" w:hAnsi="仿宋" w:eastAsia="仿宋"/>
          <w:sz w:val="32"/>
          <w:szCs w:val="32"/>
          <w:lang w:val="zh-CN"/>
        </w:rPr>
        <w:t>市</w:t>
      </w:r>
      <w:r>
        <w:rPr>
          <w:rFonts w:ascii="仿宋" w:hAnsi="仿宋" w:eastAsia="仿宋"/>
          <w:sz w:val="32"/>
          <w:szCs w:val="32"/>
          <w:lang w:val="zh-CN"/>
        </w:rPr>
        <w:t>物流产业发展布局，是落实市委构建“</w:t>
      </w:r>
      <w:r>
        <w:rPr>
          <w:rFonts w:ascii="仿宋" w:hAnsi="仿宋" w:eastAsia="仿宋"/>
          <w:sz w:val="32"/>
          <w:szCs w:val="32"/>
        </w:rPr>
        <w:t>3+1</w:t>
      </w:r>
      <w:r>
        <w:rPr>
          <w:rFonts w:ascii="仿宋" w:hAnsi="仿宋" w:eastAsia="仿宋"/>
          <w:sz w:val="32"/>
          <w:szCs w:val="32"/>
          <w:lang w:val="zh-CN"/>
        </w:rPr>
        <w:t>”现代服务业体系的重要落实举措，有利于更好的推动打造枢纽经济。</w:t>
      </w:r>
    </w:p>
    <w:p>
      <w:pPr>
        <w:adjustRightInd w:val="0"/>
        <w:snapToGrid w:val="0"/>
        <w:spacing w:line="600" w:lineRule="exact"/>
        <w:outlineLvl w:val="1"/>
        <w:rPr>
          <w:rFonts w:ascii="黑体" w:hAnsi="黑体" w:eastAsia="黑体"/>
          <w:sz w:val="32"/>
          <w:szCs w:val="32"/>
        </w:rPr>
      </w:pPr>
      <w:bookmarkStart w:id="97" w:name="_Toc18018"/>
      <w:r>
        <w:rPr>
          <w:rFonts w:hint="eastAsia" w:ascii="黑体" w:hAnsi="黑体" w:eastAsia="黑体"/>
          <w:sz w:val="32"/>
          <w:szCs w:val="32"/>
        </w:rPr>
        <w:t xml:space="preserve">     </w:t>
      </w:r>
      <w:r>
        <w:rPr>
          <w:rFonts w:ascii="黑体" w:hAnsi="黑体" w:eastAsia="黑体"/>
          <w:sz w:val="32"/>
          <w:szCs w:val="32"/>
        </w:rPr>
        <w:t>五、评价结论及建议</w:t>
      </w:r>
      <w:bookmarkEnd w:id="97"/>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（一）评价结论。</w:t>
      </w:r>
    </w:p>
    <w:p>
      <w:pPr>
        <w:adjustRightInd w:val="0"/>
        <w:snapToGrid w:val="0"/>
        <w:spacing w:line="600" w:lineRule="exact"/>
        <w:ind w:firstLine="640" w:firstLineChars="200"/>
        <w:rPr>
          <w:rFonts w:ascii="仿宋" w:hAnsi="仿宋" w:eastAsia="仿宋"/>
          <w:sz w:val="32"/>
          <w:szCs w:val="32"/>
          <w:bdr w:val="single" w:color="auto" w:sz="4" w:space="0"/>
          <w:lang w:val="zh-CN"/>
        </w:rPr>
      </w:pPr>
      <w:r>
        <w:rPr>
          <w:rFonts w:ascii="仿宋" w:hAnsi="仿宋" w:eastAsia="仿宋"/>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（二）存在的问题。</w:t>
      </w:r>
    </w:p>
    <w:p>
      <w:pPr>
        <w:adjustRightInd w:val="0"/>
        <w:snapToGrid w:val="0"/>
        <w:spacing w:line="600" w:lineRule="exact"/>
        <w:ind w:firstLine="640" w:firstLineChars="200"/>
        <w:rPr>
          <w:rFonts w:ascii="仿宋" w:hAnsi="仿宋" w:eastAsia="仿宋"/>
          <w:sz w:val="32"/>
          <w:szCs w:val="32"/>
          <w:lang w:val="zh-CN"/>
        </w:rPr>
      </w:pPr>
      <w:r>
        <w:rPr>
          <w:rFonts w:ascii="仿宋" w:hAnsi="仿宋" w:eastAsia="仿宋"/>
          <w:sz w:val="32"/>
          <w:szCs w:val="32"/>
          <w:lang w:val="zh-CN"/>
        </w:rPr>
        <w:t>结合自评情况，分析存在的问题及原因。</w:t>
      </w:r>
      <w:r>
        <w:rPr>
          <w:rFonts w:ascii="仿宋" w:hAnsi="仿宋" w:eastAsia="仿宋"/>
          <w:sz w:val="32"/>
          <w:szCs w:val="32"/>
          <w:lang w:val="zh-CN"/>
        </w:rPr>
        <w:tab/>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（三）相关建议。</w:t>
      </w:r>
    </w:p>
    <w:p>
      <w:pPr>
        <w:adjustRightInd w:val="0"/>
        <w:snapToGrid w:val="0"/>
        <w:spacing w:line="600" w:lineRule="exact"/>
        <w:ind w:firstLine="640" w:firstLineChars="200"/>
        <w:rPr>
          <w:rFonts w:ascii="仿宋" w:hAnsi="仿宋" w:eastAsia="仿宋"/>
          <w:sz w:val="32"/>
          <w:szCs w:val="32"/>
          <w:lang w:val="zh-CN"/>
        </w:rPr>
      </w:pPr>
      <w:r>
        <w:rPr>
          <w:rFonts w:ascii="仿宋" w:hAnsi="仿宋" w:eastAsia="仿宋"/>
          <w:sz w:val="32"/>
          <w:szCs w:val="32"/>
          <w:lang w:val="zh-CN"/>
        </w:rPr>
        <w:t>针对项目自评中发现的问题，提出下一步改进完善的意见及有关政策性建议。</w:t>
      </w:r>
    </w:p>
    <w:p>
      <w:pPr>
        <w:rPr>
          <w:rFonts w:ascii="仿宋" w:hAnsi="仿宋" w:eastAsia="仿宋"/>
          <w:sz w:val="32"/>
          <w:szCs w:val="32"/>
        </w:rPr>
      </w:pPr>
    </w:p>
    <w:p>
      <w:pPr>
        <w:pStyle w:val="37"/>
        <w:spacing w:line="600" w:lineRule="exact"/>
        <w:jc w:val="center"/>
        <w:rPr>
          <w:rStyle w:val="31"/>
          <w:rFonts w:ascii="仿宋" w:hAnsi="仿宋" w:eastAsia="仿宋"/>
          <w:b w:val="0"/>
          <w:sz w:val="32"/>
          <w:szCs w:val="32"/>
        </w:rPr>
      </w:pPr>
    </w:p>
    <w:p>
      <w:pPr>
        <w:pStyle w:val="37"/>
        <w:spacing w:line="600" w:lineRule="exact"/>
        <w:jc w:val="center"/>
        <w:rPr>
          <w:rFonts w:ascii="方正小标宋_GBK" w:hAnsi="方正小标宋_GBK" w:eastAsia="方正小标宋_GBK"/>
          <w:color w:val="auto"/>
          <w:kern w:val="2"/>
          <w:sz w:val="36"/>
          <w:szCs w:val="36"/>
          <w:lang w:val="en-US"/>
        </w:rPr>
      </w:pPr>
    </w:p>
    <w:p>
      <w:pPr>
        <w:pStyle w:val="37"/>
        <w:spacing w:line="600" w:lineRule="exact"/>
        <w:jc w:val="center"/>
        <w:rPr>
          <w:rFonts w:ascii="方正小标宋_GBK" w:hAnsi="方正小标宋_GBK" w:eastAsia="方正小标宋_GBK"/>
          <w:color w:val="auto"/>
          <w:kern w:val="2"/>
          <w:sz w:val="36"/>
          <w:szCs w:val="36"/>
          <w:lang w:val="en-US"/>
        </w:rPr>
      </w:pPr>
    </w:p>
    <w:p>
      <w:pPr>
        <w:pStyle w:val="2"/>
        <w:spacing w:before="93"/>
        <w:rPr>
          <w:rFonts w:ascii="仿宋" w:hAnsi="仿宋" w:eastAsia="仿宋"/>
          <w:sz w:val="32"/>
          <w:szCs w:val="32"/>
        </w:rPr>
      </w:pPr>
      <w:r>
        <w:rPr>
          <w:rFonts w:hint="eastAsia" w:ascii="仿宋" w:hAnsi="仿宋" w:eastAsia="仿宋" w:cs="宋体"/>
          <w:sz w:val="32"/>
          <w:szCs w:val="32"/>
          <w:shd w:val="clear" w:color="auto" w:fill="FFFFFF"/>
          <w:lang w:val="zh-CN"/>
        </w:rPr>
        <w:t>附件</w:t>
      </w:r>
      <w:r>
        <w:rPr>
          <w:rFonts w:hint="eastAsia" w:ascii="仿宋" w:hAnsi="仿宋" w:eastAsia="仿宋" w:cs="宋体"/>
          <w:sz w:val="32"/>
          <w:szCs w:val="32"/>
          <w:shd w:val="clear" w:color="auto" w:fill="FFFFFF"/>
        </w:rPr>
        <w:t>2-2</w:t>
      </w:r>
    </w:p>
    <w:p>
      <w:pPr>
        <w:pStyle w:val="37"/>
        <w:spacing w:line="600" w:lineRule="exact"/>
        <w:jc w:val="center"/>
        <w:rPr>
          <w:rFonts w:ascii="方正小标宋_GBK" w:hAnsi="方正小标宋_GBK" w:eastAsia="方正小标宋_GBK"/>
          <w:color w:val="auto"/>
          <w:kern w:val="2"/>
          <w:sz w:val="36"/>
          <w:szCs w:val="36"/>
        </w:rPr>
      </w:pPr>
      <w:r>
        <w:rPr>
          <w:rFonts w:ascii="方正小标宋_GBK" w:hAnsi="方正小标宋_GBK" w:eastAsia="方正小标宋_GBK"/>
          <w:color w:val="auto"/>
          <w:kern w:val="2"/>
          <w:sz w:val="36"/>
          <w:szCs w:val="36"/>
          <w:lang w:val="en-US"/>
        </w:rPr>
        <w:t>202</w:t>
      </w:r>
      <w:r>
        <w:rPr>
          <w:rFonts w:hint="eastAsia" w:ascii="方正小标宋_GBK" w:hAnsi="方正小标宋_GBK" w:eastAsia="方正小标宋_GBK"/>
          <w:color w:val="auto"/>
          <w:kern w:val="2"/>
          <w:sz w:val="36"/>
          <w:szCs w:val="36"/>
          <w:lang w:val="en-US"/>
        </w:rPr>
        <w:t>2</w:t>
      </w:r>
      <w:r>
        <w:rPr>
          <w:rFonts w:ascii="方正小标宋_GBK" w:hAnsi="方正小标宋_GBK" w:eastAsia="方正小标宋_GBK"/>
          <w:color w:val="auto"/>
          <w:kern w:val="2"/>
          <w:sz w:val="36"/>
          <w:szCs w:val="36"/>
          <w:lang w:val="en-US"/>
        </w:rPr>
        <w:t>年</w:t>
      </w:r>
      <w:r>
        <w:rPr>
          <w:rFonts w:ascii="方正小标宋_GBK" w:hAnsi="方正小标宋_GBK" w:eastAsia="方正小标宋_GBK"/>
          <w:color w:val="auto"/>
          <w:kern w:val="2"/>
          <w:sz w:val="36"/>
          <w:szCs w:val="36"/>
        </w:rPr>
        <w:t>专项预算项目支出绩效自评报告</w:t>
      </w:r>
    </w:p>
    <w:p>
      <w:pPr>
        <w:pStyle w:val="37"/>
        <w:spacing w:line="600" w:lineRule="exact"/>
        <w:ind w:firstLine="883"/>
        <w:jc w:val="center"/>
        <w:rPr>
          <w:rFonts w:ascii="方正小标宋_GBK" w:hAnsi="方正小标宋_GBK" w:eastAsia="方正小标宋_GBK"/>
          <w:color w:val="auto"/>
          <w:kern w:val="2"/>
          <w:sz w:val="36"/>
          <w:szCs w:val="36"/>
        </w:rPr>
      </w:pPr>
      <w:r>
        <w:rPr>
          <w:rFonts w:ascii="方正小标宋_GBK" w:hAnsi="方正小标宋_GBK" w:eastAsia="方正小标宋_GBK"/>
          <w:color w:val="auto"/>
          <w:kern w:val="2"/>
          <w:sz w:val="36"/>
          <w:szCs w:val="36"/>
        </w:rPr>
        <w:t>（</w:t>
      </w:r>
      <w:r>
        <w:rPr>
          <w:rFonts w:hint="eastAsia" w:ascii="方正小标宋_GBK" w:hAnsi="方正小标宋_GBK" w:eastAsia="方正小标宋_GBK"/>
          <w:color w:val="auto"/>
          <w:kern w:val="2"/>
          <w:sz w:val="36"/>
          <w:szCs w:val="36"/>
        </w:rPr>
        <w:t>《攀枝花市国民经济和社会发展第十四个五年计划纲要》编制费用余款支出项目</w:t>
      </w:r>
      <w:r>
        <w:rPr>
          <w:rFonts w:ascii="方正小标宋_GBK" w:hAnsi="方正小标宋_GBK" w:eastAsia="方正小标宋_GBK"/>
          <w:color w:val="auto"/>
          <w:kern w:val="2"/>
          <w:sz w:val="36"/>
          <w:szCs w:val="36"/>
        </w:rPr>
        <w:t>主管部门自评）</w:t>
      </w:r>
    </w:p>
    <w:p>
      <w:pPr>
        <w:pStyle w:val="37"/>
        <w:spacing w:line="600" w:lineRule="exact"/>
        <w:ind w:firstLine="640"/>
        <w:jc w:val="center"/>
        <w:rPr>
          <w:rFonts w:ascii="方正小标宋_GBK" w:hAnsi="方正小标宋_GBK" w:eastAsia="方正小标宋_GBK"/>
          <w:color w:val="auto"/>
          <w:kern w:val="2"/>
          <w:sz w:val="36"/>
          <w:szCs w:val="36"/>
        </w:rPr>
      </w:pPr>
    </w:p>
    <w:p>
      <w:pPr>
        <w:spacing w:line="600" w:lineRule="exact"/>
        <w:ind w:firstLine="720"/>
        <w:outlineLvl w:val="1"/>
        <w:rPr>
          <w:rFonts w:ascii="黑体" w:hAnsi="黑体" w:eastAsia="黑体"/>
          <w:sz w:val="32"/>
          <w:szCs w:val="32"/>
          <w:lang w:val="zh-CN"/>
        </w:rPr>
      </w:pPr>
      <w:bookmarkStart w:id="98" w:name="_Toc30604"/>
      <w:r>
        <w:rPr>
          <w:rFonts w:ascii="黑体" w:hAnsi="黑体" w:eastAsia="黑体"/>
          <w:sz w:val="32"/>
          <w:szCs w:val="32"/>
        </w:rPr>
        <w:t>一、</w:t>
      </w:r>
      <w:r>
        <w:rPr>
          <w:rFonts w:ascii="黑体" w:hAnsi="黑体" w:eastAsia="黑体"/>
          <w:sz w:val="32"/>
          <w:szCs w:val="32"/>
          <w:lang w:val="zh-CN"/>
        </w:rPr>
        <w:t>项目概况</w:t>
      </w:r>
      <w:bookmarkEnd w:id="98"/>
    </w:p>
    <w:p>
      <w:pPr>
        <w:spacing w:line="600" w:lineRule="exact"/>
        <w:ind w:firstLine="720"/>
        <w:rPr>
          <w:rFonts w:ascii="仿宋" w:hAnsi="仿宋" w:eastAsia="仿宋"/>
          <w:b/>
          <w:sz w:val="32"/>
          <w:szCs w:val="32"/>
          <w:lang w:val="zh-CN"/>
        </w:rPr>
      </w:pPr>
      <w:r>
        <w:rPr>
          <w:rFonts w:ascii="仿宋" w:hAnsi="仿宋" w:eastAsia="仿宋"/>
          <w:b/>
          <w:sz w:val="32"/>
          <w:szCs w:val="32"/>
          <w:lang w:val="zh-CN"/>
        </w:rPr>
        <w:t>（一）项目基本情况。</w:t>
      </w:r>
    </w:p>
    <w:p>
      <w:pPr>
        <w:spacing w:line="600" w:lineRule="exact"/>
        <w:ind w:firstLine="641"/>
        <w:rPr>
          <w:rFonts w:ascii="仿宋" w:hAnsi="仿宋" w:eastAsia="仿宋"/>
          <w:sz w:val="32"/>
          <w:szCs w:val="32"/>
          <w:lang w:val="zh-CN"/>
        </w:rPr>
      </w:pPr>
      <w:r>
        <w:rPr>
          <w:rFonts w:hint="eastAsia" w:ascii="仿宋" w:hAnsi="仿宋" w:eastAsia="仿宋"/>
          <w:color w:val="000000"/>
          <w:sz w:val="32"/>
          <w:szCs w:val="32"/>
        </w:rPr>
        <w:t>按照中央、省、市规划编制部署，攀枝花市发展和改革委员会负责</w:t>
      </w:r>
      <w:r>
        <w:rPr>
          <w:rFonts w:hint="eastAsia" w:ascii="仿宋" w:hAnsi="仿宋" w:eastAsia="仿宋"/>
          <w:sz w:val="32"/>
          <w:szCs w:val="32"/>
        </w:rPr>
        <w:t>统筹推进“十四五”规划《纲要》（以下简称《纲要》）编制工作。为及时推进《纲要》编制工作，2019年6月，我委起草了《关于全市</w:t>
      </w:r>
      <w:r>
        <w:rPr>
          <w:rFonts w:ascii="仿宋" w:hAnsi="仿宋" w:eastAsia="仿宋"/>
          <w:sz w:val="32"/>
          <w:szCs w:val="32"/>
        </w:rPr>
        <w:t>“</w:t>
      </w:r>
      <w:r>
        <w:rPr>
          <w:rFonts w:hint="eastAsia" w:ascii="仿宋" w:hAnsi="仿宋" w:eastAsia="仿宋"/>
          <w:sz w:val="32"/>
          <w:szCs w:val="32"/>
        </w:rPr>
        <w:t>十四五</w:t>
      </w:r>
      <w:r>
        <w:rPr>
          <w:rFonts w:ascii="仿宋" w:hAnsi="仿宋" w:eastAsia="仿宋"/>
          <w:sz w:val="32"/>
          <w:szCs w:val="32"/>
        </w:rPr>
        <w:t>”</w:t>
      </w:r>
      <w:r>
        <w:rPr>
          <w:rFonts w:hint="eastAsia" w:ascii="仿宋" w:hAnsi="仿宋" w:eastAsia="仿宋"/>
          <w:sz w:val="32"/>
          <w:szCs w:val="32"/>
        </w:rPr>
        <w:t>规划编制经费安排相关事宜的请示》，经市政府同意，2019年7月，我委启动了《纲要》编制政府采购事宜，按程序招标确定了编制单位，项目经费94.30万元，计划分四次拨付，由于财政困难，2020年支付20万元，2022年支付余款74.30万元。</w:t>
      </w:r>
    </w:p>
    <w:p>
      <w:pPr>
        <w:numPr>
          <w:ilvl w:val="0"/>
          <w:numId w:val="5"/>
        </w:num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项目绩效目标。</w:t>
      </w:r>
    </w:p>
    <w:p>
      <w:pPr>
        <w:spacing w:line="600" w:lineRule="exact"/>
        <w:ind w:firstLine="641"/>
        <w:rPr>
          <w:rFonts w:ascii="仿宋" w:hAnsi="仿宋" w:eastAsia="仿宋"/>
          <w:sz w:val="32"/>
          <w:szCs w:val="32"/>
          <w:lang w:val="zh-CN"/>
        </w:rPr>
      </w:pPr>
      <w:r>
        <w:rPr>
          <w:rFonts w:hint="eastAsia" w:ascii="仿宋" w:hAnsi="仿宋" w:eastAsia="仿宋"/>
          <w:sz w:val="32"/>
          <w:szCs w:val="32"/>
        </w:rPr>
        <w:t>规划《纲要》全面总结攀枝花市“十三五”时期经济社会发展取得的主要成绩，深入分析经济社会存在的问题与困难，认真研判“十四五”时期所处的国际国内环境及面临的发展机遇与挑战，面向基本现代化建设，立足高质量发展、开启现代化建设要求，科学规划“十四五”时期全市的发展定位、发展战略、主要发展目标、指导思想、发展路径、重点任务措施等，制定一批支撑“十四五”时期高质量发展的重大工程项目、重大改革举措和重大政策，形成《攀枝花市“十四五”时期经济社会发展基本思路》以及《攀枝花市国民经济和社会发展第十四个五年规划纲要》，成果与攀枝花市实际相符，目标合理可行，现《纲要》已于2021年1月通过市人代会审查，并于2021年4月以市政府名义印发实施，编制经费已全部支付完毕。</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（三）项目自评步骤及方法。</w:t>
      </w:r>
    </w:p>
    <w:p>
      <w:pPr>
        <w:spacing w:line="600" w:lineRule="exact"/>
        <w:ind w:firstLine="641"/>
        <w:rPr>
          <w:rFonts w:ascii="仿宋" w:hAnsi="仿宋" w:eastAsia="仿宋"/>
          <w:sz w:val="32"/>
          <w:szCs w:val="32"/>
        </w:rPr>
      </w:pPr>
      <w:r>
        <w:rPr>
          <w:rFonts w:hint="eastAsia" w:ascii="仿宋" w:hAnsi="仿宋" w:eastAsia="仿宋"/>
          <w:sz w:val="32"/>
          <w:szCs w:val="32"/>
        </w:rPr>
        <w:t>我单位自行开展评估，通过与项目相关人员座谈或讨论、聘请相关专业专家等方法了解项目情况，收集相关资料，综合分析相关情况后，对项目的立项必要性、投入经济性、目标合理性、方案可行性以及筹资合规性实施评估，形成绩效评估报告。</w:t>
      </w:r>
    </w:p>
    <w:p>
      <w:pPr>
        <w:adjustRightInd w:val="0"/>
        <w:snapToGrid w:val="0"/>
        <w:spacing w:line="600" w:lineRule="exact"/>
        <w:ind w:firstLine="720"/>
        <w:outlineLvl w:val="1"/>
        <w:rPr>
          <w:rFonts w:ascii="黑体" w:hAnsi="黑体" w:eastAsia="黑体"/>
          <w:sz w:val="32"/>
          <w:szCs w:val="32"/>
        </w:rPr>
      </w:pPr>
      <w:bookmarkStart w:id="99" w:name="_Toc18232"/>
      <w:r>
        <w:rPr>
          <w:rFonts w:ascii="黑体" w:hAnsi="黑体" w:eastAsia="黑体"/>
          <w:sz w:val="32"/>
          <w:szCs w:val="32"/>
        </w:rPr>
        <w:t>二、项目资金申报及使用情况</w:t>
      </w:r>
      <w:bookmarkEnd w:id="99"/>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（一）项目资金申报及批复情况。</w:t>
      </w:r>
    </w:p>
    <w:p>
      <w:pPr>
        <w:spacing w:line="600" w:lineRule="exact"/>
        <w:ind w:firstLine="641"/>
        <w:rPr>
          <w:rFonts w:ascii="仿宋" w:hAnsi="仿宋" w:eastAsia="仿宋"/>
          <w:sz w:val="32"/>
          <w:szCs w:val="32"/>
          <w:lang w:val="zh-CN"/>
        </w:rPr>
      </w:pPr>
      <w:r>
        <w:rPr>
          <w:rFonts w:hint="eastAsia" w:ascii="仿宋" w:hAnsi="仿宋" w:eastAsia="仿宋"/>
          <w:sz w:val="32"/>
          <w:szCs w:val="32"/>
        </w:rPr>
        <w:t>市委、市政府领导同意《攀枝花市发展和改革委员会关于全市“十四五”规划编制经费安排相关事宜的请示》，</w:t>
      </w:r>
      <w:r>
        <w:rPr>
          <w:rFonts w:hint="eastAsia" w:ascii="仿宋" w:hAnsi="仿宋" w:eastAsia="仿宋"/>
          <w:sz w:val="32"/>
          <w:szCs w:val="32"/>
          <w:lang w:val="zh-CN"/>
        </w:rPr>
        <w:t>规划《纲要》编制经费共计</w:t>
      </w:r>
      <w:r>
        <w:rPr>
          <w:rFonts w:hint="eastAsia" w:ascii="仿宋" w:hAnsi="仿宋" w:eastAsia="仿宋"/>
          <w:sz w:val="32"/>
          <w:szCs w:val="32"/>
        </w:rPr>
        <w:t>94.30万元。</w:t>
      </w:r>
    </w:p>
    <w:p>
      <w:pPr>
        <w:adjustRightInd w:val="0"/>
        <w:snapToGrid w:val="0"/>
        <w:spacing w:line="600" w:lineRule="exact"/>
        <w:ind w:firstLine="643" w:firstLineChars="200"/>
        <w:rPr>
          <w:rFonts w:ascii="仿宋" w:hAnsi="仿宋" w:eastAsia="仿宋"/>
          <w:sz w:val="32"/>
          <w:szCs w:val="32"/>
          <w:lang w:val="zh-CN"/>
        </w:rPr>
      </w:pPr>
      <w:r>
        <w:rPr>
          <w:rFonts w:ascii="仿宋" w:hAnsi="仿宋" w:eastAsia="仿宋"/>
          <w:b/>
          <w:sz w:val="32"/>
          <w:szCs w:val="32"/>
          <w:lang w:val="zh-CN"/>
        </w:rPr>
        <w:t>（二）资金计划、到位及使用情况。</w:t>
      </w:r>
    </w:p>
    <w:p>
      <w:pPr>
        <w:spacing w:line="600" w:lineRule="exact"/>
        <w:ind w:firstLine="641"/>
        <w:rPr>
          <w:rFonts w:ascii="仿宋" w:hAnsi="仿宋" w:eastAsia="仿宋"/>
          <w:sz w:val="32"/>
          <w:szCs w:val="32"/>
          <w:lang w:val="zh-CN"/>
        </w:rPr>
      </w:pPr>
      <w:r>
        <w:rPr>
          <w:rFonts w:hint="eastAsia" w:ascii="仿宋" w:hAnsi="仿宋" w:eastAsia="仿宋"/>
          <w:sz w:val="32"/>
          <w:szCs w:val="32"/>
          <w:lang w:val="zh-CN"/>
        </w:rPr>
        <w:t>规划《纲要》编制经费共计</w:t>
      </w:r>
      <w:r>
        <w:rPr>
          <w:rFonts w:hint="eastAsia" w:ascii="仿宋" w:hAnsi="仿宋" w:eastAsia="仿宋"/>
          <w:sz w:val="32"/>
          <w:szCs w:val="32"/>
        </w:rPr>
        <w:t>94.30万元，计划分四次拨付，2020年支付首笔编制费用20万元，由于财政困难，2022年统一支付余款74.30万元，现已全部支付完毕，所需费用均来源于财政资金，资金的</w:t>
      </w:r>
      <w:r>
        <w:rPr>
          <w:rFonts w:ascii="仿宋" w:hAnsi="仿宋" w:eastAsia="仿宋"/>
          <w:sz w:val="32"/>
          <w:szCs w:val="32"/>
          <w:lang w:val="zh-CN"/>
        </w:rPr>
        <w:t>支付范围、支付标准、支付依据等合规合法、与预算相符。</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（三）项目财务管理情况。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我委</w:t>
      </w:r>
      <w:r>
        <w:rPr>
          <w:rFonts w:ascii="仿宋" w:hAnsi="仿宋" w:eastAsia="仿宋"/>
          <w:sz w:val="32"/>
          <w:szCs w:val="32"/>
          <w:lang w:val="zh-CN"/>
        </w:rPr>
        <w:t>项目实施单位财务管理制度健全，严格执行财务管理制度，账务处理及时，会计核算规范。</w:t>
      </w:r>
    </w:p>
    <w:p>
      <w:pPr>
        <w:adjustRightInd w:val="0"/>
        <w:snapToGrid w:val="0"/>
        <w:spacing w:line="600" w:lineRule="exact"/>
        <w:ind w:firstLine="720"/>
        <w:outlineLvl w:val="1"/>
        <w:rPr>
          <w:rFonts w:ascii="黑体" w:hAnsi="黑体" w:eastAsia="黑体"/>
          <w:sz w:val="32"/>
          <w:szCs w:val="32"/>
        </w:rPr>
      </w:pPr>
      <w:bookmarkStart w:id="100" w:name="_Toc7465"/>
      <w:r>
        <w:rPr>
          <w:rFonts w:ascii="黑体" w:hAnsi="黑体" w:eastAsia="黑体"/>
          <w:sz w:val="32"/>
          <w:szCs w:val="32"/>
        </w:rPr>
        <w:t>三、项目实施及管理情况</w:t>
      </w:r>
      <w:bookmarkEnd w:id="100"/>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rPr>
        <w:t>我委严格按照</w:t>
      </w:r>
      <w:r>
        <w:rPr>
          <w:rFonts w:hint="eastAsia" w:ascii="仿宋" w:hAnsi="仿宋" w:eastAsia="仿宋"/>
          <w:sz w:val="32"/>
          <w:szCs w:val="32"/>
          <w:lang w:val="zh-CN"/>
        </w:rPr>
        <w:t>相关法律法规及项目管理制度</w:t>
      </w:r>
      <w:r>
        <w:rPr>
          <w:rFonts w:hint="eastAsia" w:ascii="仿宋" w:hAnsi="仿宋" w:eastAsia="仿宋"/>
          <w:sz w:val="32"/>
          <w:szCs w:val="32"/>
        </w:rPr>
        <w:t>开展《纲要》编制政府采购事宜，按程序招标确定了编制单位，对招标全流程进行监督，并将结果进行公示，招标流程合法合规，结果客观公正。</w:t>
      </w:r>
    </w:p>
    <w:p>
      <w:pPr>
        <w:adjustRightInd w:val="0"/>
        <w:snapToGrid w:val="0"/>
        <w:spacing w:line="600" w:lineRule="exact"/>
        <w:ind w:firstLine="720"/>
        <w:outlineLvl w:val="1"/>
        <w:rPr>
          <w:rFonts w:ascii="黑体" w:hAnsi="黑体" w:eastAsia="黑体"/>
          <w:sz w:val="32"/>
          <w:szCs w:val="32"/>
          <w:lang w:val="zh-CN"/>
        </w:rPr>
      </w:pPr>
      <w:bookmarkStart w:id="101" w:name="_Toc16677"/>
      <w:r>
        <w:rPr>
          <w:rFonts w:ascii="黑体" w:hAnsi="黑体" w:eastAsia="黑体"/>
          <w:sz w:val="32"/>
          <w:szCs w:val="32"/>
        </w:rPr>
        <w:t>四、项目绩效情况</w:t>
      </w:r>
      <w:bookmarkEnd w:id="101"/>
      <w:r>
        <w:rPr>
          <w:rFonts w:ascii="黑体" w:hAnsi="黑体" w:eastAsia="黑体"/>
          <w:sz w:val="32"/>
          <w:szCs w:val="32"/>
          <w:lang w:val="zh-CN"/>
        </w:rPr>
        <w:tab/>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（一）项目完成情况。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编制单位按照合同约定提供编制成果，成果符合合同预定的质量标准、进度计划、成本控制目标，并经过市政府常务会议、市委常委会会议审定，</w:t>
      </w:r>
      <w:r>
        <w:rPr>
          <w:rFonts w:hint="eastAsia" w:ascii="仿宋" w:hAnsi="仿宋" w:eastAsia="仿宋"/>
          <w:sz w:val="32"/>
          <w:szCs w:val="32"/>
        </w:rPr>
        <w:t>于2021年1月通过市人代会审查，并于2021年4月以市政府名义印发实施。</w:t>
      </w:r>
    </w:p>
    <w:p>
      <w:pPr>
        <w:adjustRightInd w:val="0"/>
        <w:snapToGrid w:val="0"/>
        <w:spacing w:line="600" w:lineRule="exact"/>
        <w:ind w:left="720"/>
        <w:rPr>
          <w:rFonts w:ascii="仿宋" w:hAnsi="仿宋" w:eastAsia="仿宋"/>
          <w:sz w:val="32"/>
          <w:szCs w:val="32"/>
          <w:lang w:val="zh-CN"/>
        </w:rPr>
      </w:pPr>
      <w:r>
        <w:rPr>
          <w:rFonts w:hint="eastAsia" w:ascii="仿宋" w:hAnsi="仿宋" w:eastAsia="仿宋"/>
          <w:b/>
          <w:sz w:val="32"/>
          <w:szCs w:val="32"/>
          <w:lang w:val="zh-CN"/>
        </w:rPr>
        <w:t>（二）</w:t>
      </w:r>
      <w:r>
        <w:rPr>
          <w:rFonts w:ascii="仿宋" w:hAnsi="仿宋" w:eastAsia="仿宋"/>
          <w:b/>
          <w:sz w:val="32"/>
          <w:szCs w:val="32"/>
          <w:lang w:val="zh-CN"/>
        </w:rPr>
        <w:t>项目效益情况。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成果坚持全局视野、体现战略眼光，以开放思维谋划全市经济社会发展，把未来五年放在社会主义现代化建设全过程当中来谋划。继承吸纳近年来攀枝花市委市政府提出的发展思路，与时俱进、创新性提出攀枝花“十四五”高质量发展、现代化建设的新定位、新目标、新思路、新任务，具有前瞻性、科学性、指导性、可操作性，能够全面指导“十四五”时期攀枝花市经济社会发展</w:t>
      </w:r>
      <w:r>
        <w:rPr>
          <w:rFonts w:ascii="仿宋" w:hAnsi="仿宋" w:eastAsia="仿宋"/>
          <w:sz w:val="32"/>
          <w:szCs w:val="32"/>
          <w:lang w:val="zh-CN"/>
        </w:rPr>
        <w:t>。</w:t>
      </w:r>
    </w:p>
    <w:p>
      <w:pPr>
        <w:adjustRightInd w:val="0"/>
        <w:snapToGrid w:val="0"/>
        <w:spacing w:line="600" w:lineRule="exact"/>
        <w:ind w:firstLine="720"/>
        <w:outlineLvl w:val="1"/>
        <w:rPr>
          <w:rFonts w:ascii="黑体" w:hAnsi="黑体" w:eastAsia="黑体"/>
          <w:sz w:val="32"/>
          <w:szCs w:val="32"/>
        </w:rPr>
      </w:pPr>
      <w:bookmarkStart w:id="102" w:name="_Toc17843"/>
      <w:r>
        <w:rPr>
          <w:rFonts w:ascii="黑体" w:hAnsi="黑体" w:eastAsia="黑体"/>
          <w:sz w:val="32"/>
          <w:szCs w:val="32"/>
        </w:rPr>
        <w:t>五、评价结论及建议</w:t>
      </w:r>
      <w:bookmarkEnd w:id="102"/>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（一）评价结论。</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规划《纲要》具有</w:t>
      </w:r>
      <w:r>
        <w:rPr>
          <w:rFonts w:hint="eastAsia" w:ascii="仿宋" w:hAnsi="仿宋" w:eastAsia="仿宋"/>
          <w:sz w:val="32"/>
          <w:szCs w:val="32"/>
        </w:rPr>
        <w:t>战略性、前瞻性、指导性</w:t>
      </w:r>
      <w:r>
        <w:rPr>
          <w:rFonts w:hint="eastAsia" w:ascii="仿宋" w:hAnsi="仿宋" w:eastAsia="仿宋"/>
          <w:sz w:val="32"/>
          <w:szCs w:val="32"/>
          <w:lang w:val="zh-CN"/>
        </w:rPr>
        <w:t>，</w:t>
      </w:r>
      <w:r>
        <w:rPr>
          <w:rFonts w:hint="eastAsia" w:ascii="仿宋" w:hAnsi="仿宋" w:eastAsia="仿宋"/>
          <w:sz w:val="32"/>
          <w:szCs w:val="32"/>
        </w:rPr>
        <w:t>明确了攀枝花市“十四五”期间及2035年远景目标和主要任务，是政府履行经济调节、市场监管、社会治理、环境保护、公共安全和公共服务职责的重要依据，是引导市场主体自主决策的重要参考。</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（二）存在的问题。</w:t>
      </w:r>
    </w:p>
    <w:p>
      <w:pPr>
        <w:adjustRightInd w:val="0"/>
        <w:snapToGrid w:val="0"/>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财政压力大，资金支出未按合同约定执行，极易造成政府违约，损害政府公信力。</w:t>
      </w:r>
      <w:r>
        <w:rPr>
          <w:rFonts w:ascii="仿宋" w:hAnsi="仿宋" w:eastAsia="仿宋"/>
          <w:sz w:val="32"/>
          <w:szCs w:val="32"/>
          <w:lang w:val="zh-CN"/>
        </w:rPr>
        <w:tab/>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（三）相关建议。</w:t>
      </w:r>
    </w:p>
    <w:p>
      <w:pPr>
        <w:adjustRightInd w:val="0"/>
        <w:snapToGrid w:val="0"/>
        <w:spacing w:line="600" w:lineRule="exact"/>
        <w:ind w:firstLine="640" w:firstLineChars="200"/>
        <w:rPr>
          <w:rStyle w:val="31"/>
          <w:rFonts w:ascii="仿宋" w:hAnsi="仿宋" w:eastAsia="仿宋"/>
          <w:b w:val="0"/>
          <w:bCs w:val="0"/>
          <w:kern w:val="2"/>
          <w:sz w:val="32"/>
          <w:szCs w:val="32"/>
        </w:rPr>
      </w:pPr>
      <w:r>
        <w:rPr>
          <w:rFonts w:hint="eastAsia" w:ascii="仿宋" w:hAnsi="仿宋" w:eastAsia="仿宋"/>
          <w:sz w:val="32"/>
          <w:szCs w:val="32"/>
          <w:lang w:val="zh-CN"/>
        </w:rPr>
        <w:t>加强项目前期的可行性与资金支出能力的研判，对已同意开展的项目要进一步加强资金的保障力度，按合同约定及时拨付。</w:t>
      </w:r>
    </w:p>
    <w:p>
      <w:pPr>
        <w:spacing w:line="600" w:lineRule="exact"/>
        <w:jc w:val="center"/>
        <w:outlineLvl w:val="0"/>
        <w:rPr>
          <w:rFonts w:ascii="黑体" w:hAnsi="黑体" w:eastAsia="黑体"/>
          <w:sz w:val="44"/>
          <w:szCs w:val="44"/>
        </w:rPr>
      </w:pPr>
      <w:bookmarkStart w:id="103" w:name="_Toc15396618"/>
      <w:bookmarkStart w:id="104" w:name="_Toc183"/>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31"/>
          <w:rFonts w:hint="eastAsia" w:ascii="黑体" w:hAnsi="黑体" w:eastAsia="黑体"/>
          <w:b w:val="0"/>
        </w:rPr>
        <w:t>五部分  附表</w:t>
      </w:r>
      <w:bookmarkEnd w:id="83"/>
      <w:bookmarkEnd w:id="103"/>
      <w:bookmarkEnd w:id="104"/>
      <w:bookmarkStart w:id="105" w:name="_Toc15396619"/>
    </w:p>
    <w:p>
      <w:pPr>
        <w:pStyle w:val="4"/>
        <w:rPr>
          <w:rFonts w:ascii="仿宋" w:hAnsi="仿宋" w:eastAsia="仿宋"/>
        </w:rPr>
      </w:pPr>
      <w:bookmarkStart w:id="106" w:name="_Toc26385"/>
      <w:r>
        <w:rPr>
          <w:rFonts w:hint="eastAsia" w:ascii="仿宋" w:hAnsi="仿宋" w:eastAsia="仿宋"/>
          <w:b w:val="0"/>
        </w:rPr>
        <w:t>一、收</w:t>
      </w:r>
      <w:r>
        <w:rPr>
          <w:rStyle w:val="32"/>
          <w:rFonts w:hint="eastAsia" w:ascii="仿宋" w:hAnsi="仿宋" w:eastAsia="仿宋"/>
          <w:b w:val="0"/>
          <w:bCs w:val="0"/>
        </w:rPr>
        <w:t>入支出决算总表</w:t>
      </w:r>
      <w:bookmarkEnd w:id="105"/>
      <w:bookmarkEnd w:id="106"/>
    </w:p>
    <w:p>
      <w:pPr>
        <w:pStyle w:val="4"/>
        <w:rPr>
          <w:rFonts w:ascii="仿宋" w:hAnsi="仿宋" w:eastAsia="仿宋"/>
        </w:rPr>
      </w:pPr>
      <w:bookmarkStart w:id="107" w:name="_Toc15396620"/>
      <w:bookmarkStart w:id="108" w:name="_Toc22910"/>
      <w:r>
        <w:rPr>
          <w:rFonts w:hint="eastAsia" w:ascii="仿宋" w:hAnsi="仿宋" w:eastAsia="仿宋"/>
          <w:b w:val="0"/>
        </w:rPr>
        <w:t>二、收</w:t>
      </w:r>
      <w:r>
        <w:rPr>
          <w:rStyle w:val="32"/>
          <w:rFonts w:hint="eastAsia" w:ascii="仿宋" w:hAnsi="仿宋" w:eastAsia="仿宋"/>
          <w:b w:val="0"/>
          <w:bCs w:val="0"/>
        </w:rPr>
        <w:t>入决算表</w:t>
      </w:r>
      <w:bookmarkEnd w:id="107"/>
      <w:bookmarkEnd w:id="108"/>
    </w:p>
    <w:p>
      <w:pPr>
        <w:pStyle w:val="4"/>
        <w:rPr>
          <w:rFonts w:ascii="仿宋" w:hAnsi="仿宋" w:eastAsia="仿宋"/>
        </w:rPr>
      </w:pPr>
      <w:bookmarkStart w:id="109" w:name="_Toc15396621"/>
      <w:bookmarkStart w:id="110" w:name="_Toc3767"/>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109"/>
      <w:bookmarkEnd w:id="110"/>
    </w:p>
    <w:p>
      <w:pPr>
        <w:pStyle w:val="4"/>
        <w:rPr>
          <w:rFonts w:ascii="仿宋" w:hAnsi="仿宋" w:eastAsia="仿宋"/>
          <w:b w:val="0"/>
        </w:rPr>
      </w:pPr>
      <w:bookmarkStart w:id="111" w:name="_Toc15396622"/>
      <w:bookmarkStart w:id="112" w:name="_Toc4795"/>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111"/>
      <w:bookmarkEnd w:id="112"/>
    </w:p>
    <w:p>
      <w:pPr>
        <w:pStyle w:val="4"/>
        <w:rPr>
          <w:rStyle w:val="32"/>
          <w:rFonts w:ascii="仿宋" w:hAnsi="仿宋" w:eastAsia="仿宋"/>
          <w:b w:val="0"/>
          <w:bCs w:val="0"/>
        </w:rPr>
      </w:pPr>
      <w:bookmarkStart w:id="113" w:name="_Toc22"/>
      <w:bookmarkStart w:id="114"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113"/>
      <w:bookmarkEnd w:id="114"/>
      <w:bookmarkStart w:id="115" w:name="_Toc15396624"/>
    </w:p>
    <w:p>
      <w:pPr>
        <w:pStyle w:val="4"/>
        <w:rPr>
          <w:rFonts w:ascii="仿宋" w:hAnsi="仿宋" w:eastAsia="仿宋"/>
        </w:rPr>
      </w:pPr>
      <w:bookmarkStart w:id="116" w:name="_Toc24198"/>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115"/>
      <w:bookmarkEnd w:id="116"/>
    </w:p>
    <w:p>
      <w:pPr>
        <w:pStyle w:val="4"/>
        <w:rPr>
          <w:rFonts w:ascii="仿宋" w:hAnsi="仿宋" w:eastAsia="仿宋"/>
        </w:rPr>
      </w:pPr>
      <w:bookmarkStart w:id="117" w:name="_Toc15396625"/>
      <w:bookmarkStart w:id="118" w:name="_Toc22432"/>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117"/>
      <w:bookmarkEnd w:id="118"/>
    </w:p>
    <w:p>
      <w:pPr>
        <w:pStyle w:val="4"/>
        <w:rPr>
          <w:rFonts w:ascii="仿宋" w:hAnsi="仿宋" w:eastAsia="仿宋"/>
        </w:rPr>
      </w:pPr>
      <w:bookmarkStart w:id="119" w:name="_Toc15396626"/>
      <w:bookmarkStart w:id="120" w:name="_Toc22333"/>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119"/>
      <w:bookmarkEnd w:id="120"/>
    </w:p>
    <w:p>
      <w:pPr>
        <w:pStyle w:val="4"/>
        <w:rPr>
          <w:rFonts w:ascii="仿宋" w:hAnsi="仿宋" w:eastAsia="仿宋"/>
        </w:rPr>
      </w:pPr>
      <w:bookmarkStart w:id="121" w:name="_Toc15396627"/>
      <w:bookmarkStart w:id="122" w:name="_Toc24342"/>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121"/>
      <w:bookmarkEnd w:id="122"/>
    </w:p>
    <w:p>
      <w:pPr>
        <w:pStyle w:val="4"/>
        <w:rPr>
          <w:rFonts w:ascii="仿宋" w:hAnsi="仿宋" w:eastAsia="仿宋"/>
        </w:rPr>
      </w:pPr>
      <w:bookmarkStart w:id="123" w:name="_Toc15396628"/>
      <w:bookmarkStart w:id="124" w:name="_Toc7471"/>
      <w:r>
        <w:rPr>
          <w:rStyle w:val="32"/>
          <w:rFonts w:hint="eastAsia" w:ascii="仿宋" w:hAnsi="仿宋" w:eastAsia="仿宋"/>
          <w:b w:val="0"/>
          <w:bCs w:val="0"/>
        </w:rPr>
        <w:t>十、</w:t>
      </w:r>
      <w:bookmarkEnd w:id="123"/>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124"/>
    </w:p>
    <w:p>
      <w:pPr>
        <w:pStyle w:val="4"/>
        <w:rPr>
          <w:rFonts w:ascii="仿宋" w:hAnsi="仿宋" w:eastAsia="仿宋"/>
        </w:rPr>
      </w:pPr>
      <w:bookmarkStart w:id="125" w:name="_Toc15396629"/>
      <w:bookmarkStart w:id="126" w:name="_Toc25830"/>
      <w:r>
        <w:rPr>
          <w:rStyle w:val="32"/>
          <w:rFonts w:hint="eastAsia" w:ascii="仿宋" w:hAnsi="仿宋" w:eastAsia="仿宋"/>
          <w:b w:val="0"/>
          <w:bCs w:val="0"/>
        </w:rPr>
        <w:t>十一、</w:t>
      </w:r>
      <w:bookmarkEnd w:id="125"/>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126"/>
    </w:p>
    <w:p>
      <w:pPr>
        <w:pStyle w:val="4"/>
        <w:rPr>
          <w:rFonts w:ascii="仿宋" w:hAnsi="仿宋" w:eastAsia="仿宋"/>
        </w:rPr>
      </w:pPr>
      <w:bookmarkStart w:id="127" w:name="_Toc15396630"/>
      <w:bookmarkStart w:id="128" w:name="_Toc16102"/>
      <w:r>
        <w:rPr>
          <w:rStyle w:val="32"/>
          <w:rFonts w:hint="eastAsia" w:ascii="仿宋" w:hAnsi="仿宋" w:eastAsia="仿宋"/>
          <w:b w:val="0"/>
          <w:bCs w:val="0"/>
        </w:rPr>
        <w:t>十二、</w:t>
      </w:r>
      <w:bookmarkEnd w:id="127"/>
      <w:r>
        <w:rPr>
          <w:rStyle w:val="32"/>
          <w:rFonts w:hint="eastAsia" w:ascii="仿宋" w:hAnsi="仿宋" w:eastAsia="仿宋"/>
          <w:b w:val="0"/>
          <w:bCs w:val="0"/>
        </w:rPr>
        <w:t>国有资本经营预算财政拨款支出决算表</w:t>
      </w:r>
      <w:bookmarkEnd w:id="128"/>
    </w:p>
    <w:p>
      <w:pPr>
        <w:pStyle w:val="4"/>
        <w:rPr>
          <w:rFonts w:eastAsia="仿宋"/>
        </w:rPr>
      </w:pPr>
      <w:bookmarkStart w:id="129" w:name="_Toc15396631"/>
      <w:bookmarkStart w:id="130" w:name="_Toc14316"/>
      <w:r>
        <w:rPr>
          <w:rStyle w:val="32"/>
          <w:rFonts w:hint="eastAsia" w:ascii="仿宋" w:hAnsi="仿宋" w:eastAsia="仿宋"/>
          <w:b w:val="0"/>
          <w:bCs w:val="0"/>
        </w:rPr>
        <w:t>十三、</w:t>
      </w:r>
      <w:bookmarkEnd w:id="129"/>
      <w:r>
        <w:rPr>
          <w:rStyle w:val="32"/>
          <w:rFonts w:hint="eastAsia" w:ascii="仿宋" w:hAnsi="仿宋" w:eastAsia="仿宋"/>
          <w:b w:val="0"/>
          <w:bCs w:val="0"/>
        </w:rPr>
        <w:t>财政拨款“三公”经费支出决算表</w:t>
      </w:r>
      <w:bookmarkEnd w:id="13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BFCBB1C"/>
    <w:multiLevelType w:val="singleLevel"/>
    <w:tmpl w:val="FBFCBB1C"/>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2621CDC"/>
    <w:multiLevelType w:val="multilevel"/>
    <w:tmpl w:val="62621CDC"/>
    <w:lvl w:ilvl="0" w:tentative="0">
      <w:start w:val="1"/>
      <w:numFmt w:val="decimal"/>
      <w:lvlText w:val="%1."/>
      <w:lvlJc w:val="left"/>
      <w:pPr>
        <w:ind w:left="1190" w:hanging="48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zNDQ0YzFhODM0ZDE1YTgwZDkwOGE2NzUzNzQ1MmIifQ=="/>
    <w:docVar w:name="KGWebUrl" w:val="http://10.3.1.25:80/seeyon/officeservlet"/>
  </w:docVars>
  <w:rsids>
    <w:rsidRoot w:val="00F1361C"/>
    <w:rsid w:val="000222C6"/>
    <w:rsid w:val="00023B00"/>
    <w:rsid w:val="0002549F"/>
    <w:rsid w:val="000468DB"/>
    <w:rsid w:val="0006487A"/>
    <w:rsid w:val="00065F8F"/>
    <w:rsid w:val="00070A43"/>
    <w:rsid w:val="000768F2"/>
    <w:rsid w:val="00077FB0"/>
    <w:rsid w:val="00087AC2"/>
    <w:rsid w:val="0009184B"/>
    <w:rsid w:val="00094236"/>
    <w:rsid w:val="0009593C"/>
    <w:rsid w:val="00096337"/>
    <w:rsid w:val="00097322"/>
    <w:rsid w:val="000A563B"/>
    <w:rsid w:val="000A57A8"/>
    <w:rsid w:val="000A6A92"/>
    <w:rsid w:val="000B047F"/>
    <w:rsid w:val="000B5923"/>
    <w:rsid w:val="000B5A48"/>
    <w:rsid w:val="000B6FF3"/>
    <w:rsid w:val="000C3467"/>
    <w:rsid w:val="000C3CA6"/>
    <w:rsid w:val="000C4409"/>
    <w:rsid w:val="000D1267"/>
    <w:rsid w:val="000D1D50"/>
    <w:rsid w:val="000D5782"/>
    <w:rsid w:val="000D6F12"/>
    <w:rsid w:val="000E6613"/>
    <w:rsid w:val="000E7119"/>
    <w:rsid w:val="000E7131"/>
    <w:rsid w:val="00114E9B"/>
    <w:rsid w:val="00121AA9"/>
    <w:rsid w:val="00125CE4"/>
    <w:rsid w:val="00136D0C"/>
    <w:rsid w:val="00142216"/>
    <w:rsid w:val="001424B2"/>
    <w:rsid w:val="00144D6A"/>
    <w:rsid w:val="0014729F"/>
    <w:rsid w:val="00157BAB"/>
    <w:rsid w:val="001654D1"/>
    <w:rsid w:val="00174518"/>
    <w:rsid w:val="0018106D"/>
    <w:rsid w:val="001877A7"/>
    <w:rsid w:val="00191536"/>
    <w:rsid w:val="00196687"/>
    <w:rsid w:val="001C0962"/>
    <w:rsid w:val="001D184A"/>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56781"/>
    <w:rsid w:val="00260C38"/>
    <w:rsid w:val="002616C0"/>
    <w:rsid w:val="00265372"/>
    <w:rsid w:val="002662AA"/>
    <w:rsid w:val="002706AD"/>
    <w:rsid w:val="00280496"/>
    <w:rsid w:val="00294DC9"/>
    <w:rsid w:val="00295495"/>
    <w:rsid w:val="002A31DE"/>
    <w:rsid w:val="002B2613"/>
    <w:rsid w:val="002D6D05"/>
    <w:rsid w:val="002F1818"/>
    <w:rsid w:val="002F2483"/>
    <w:rsid w:val="002F567B"/>
    <w:rsid w:val="00305F9E"/>
    <w:rsid w:val="003216A9"/>
    <w:rsid w:val="00335A74"/>
    <w:rsid w:val="0036561B"/>
    <w:rsid w:val="00366F1E"/>
    <w:rsid w:val="0037013F"/>
    <w:rsid w:val="003806B9"/>
    <w:rsid w:val="00380C92"/>
    <w:rsid w:val="00385D97"/>
    <w:rsid w:val="00387BBD"/>
    <w:rsid w:val="003A484F"/>
    <w:rsid w:val="003A4883"/>
    <w:rsid w:val="003B0BE0"/>
    <w:rsid w:val="003B0C1B"/>
    <w:rsid w:val="003B688C"/>
    <w:rsid w:val="003C0291"/>
    <w:rsid w:val="003C39AE"/>
    <w:rsid w:val="003C7B60"/>
    <w:rsid w:val="003D0C0F"/>
    <w:rsid w:val="003D1FB2"/>
    <w:rsid w:val="003D2F60"/>
    <w:rsid w:val="003D66DA"/>
    <w:rsid w:val="003E1310"/>
    <w:rsid w:val="003E6C02"/>
    <w:rsid w:val="003E6F55"/>
    <w:rsid w:val="00406254"/>
    <w:rsid w:val="004223DE"/>
    <w:rsid w:val="00434489"/>
    <w:rsid w:val="00437085"/>
    <w:rsid w:val="00443880"/>
    <w:rsid w:val="004464F4"/>
    <w:rsid w:val="00446E63"/>
    <w:rsid w:val="004529D0"/>
    <w:rsid w:val="00467094"/>
    <w:rsid w:val="00471401"/>
    <w:rsid w:val="00473F31"/>
    <w:rsid w:val="0048263A"/>
    <w:rsid w:val="00487E5D"/>
    <w:rsid w:val="004A0B96"/>
    <w:rsid w:val="004A711F"/>
    <w:rsid w:val="004B199D"/>
    <w:rsid w:val="004B350A"/>
    <w:rsid w:val="004B4690"/>
    <w:rsid w:val="004E0A2D"/>
    <w:rsid w:val="004E206B"/>
    <w:rsid w:val="004E6DF7"/>
    <w:rsid w:val="004F075F"/>
    <w:rsid w:val="004F0FBD"/>
    <w:rsid w:val="004F6FBC"/>
    <w:rsid w:val="00505A47"/>
    <w:rsid w:val="00512FDA"/>
    <w:rsid w:val="00514DB7"/>
    <w:rsid w:val="00520DA0"/>
    <w:rsid w:val="00525E15"/>
    <w:rsid w:val="00526604"/>
    <w:rsid w:val="005664BB"/>
    <w:rsid w:val="00566FFA"/>
    <w:rsid w:val="0057481D"/>
    <w:rsid w:val="00575DBE"/>
    <w:rsid w:val="00577AC2"/>
    <w:rsid w:val="0058486E"/>
    <w:rsid w:val="00585B33"/>
    <w:rsid w:val="0059014D"/>
    <w:rsid w:val="005B1DD8"/>
    <w:rsid w:val="005B5C64"/>
    <w:rsid w:val="005B67C6"/>
    <w:rsid w:val="005C5337"/>
    <w:rsid w:val="005C6BD0"/>
    <w:rsid w:val="005D1C8B"/>
    <w:rsid w:val="005D468D"/>
    <w:rsid w:val="005D5CED"/>
    <w:rsid w:val="005D65DB"/>
    <w:rsid w:val="005D7D8C"/>
    <w:rsid w:val="005F1A4C"/>
    <w:rsid w:val="00605688"/>
    <w:rsid w:val="006070AF"/>
    <w:rsid w:val="00607E6C"/>
    <w:rsid w:val="006101B1"/>
    <w:rsid w:val="00614E44"/>
    <w:rsid w:val="0062270A"/>
    <w:rsid w:val="00622830"/>
    <w:rsid w:val="00623DA0"/>
    <w:rsid w:val="00630588"/>
    <w:rsid w:val="00630AEF"/>
    <w:rsid w:val="006325F8"/>
    <w:rsid w:val="00633463"/>
    <w:rsid w:val="00634C9A"/>
    <w:rsid w:val="006440E4"/>
    <w:rsid w:val="006455F8"/>
    <w:rsid w:val="0066343B"/>
    <w:rsid w:val="00664777"/>
    <w:rsid w:val="0067280B"/>
    <w:rsid w:val="006748A4"/>
    <w:rsid w:val="00681A31"/>
    <w:rsid w:val="00683E73"/>
    <w:rsid w:val="006A052C"/>
    <w:rsid w:val="006A3141"/>
    <w:rsid w:val="006A5E34"/>
    <w:rsid w:val="006B2422"/>
    <w:rsid w:val="006B2B9A"/>
    <w:rsid w:val="006C1937"/>
    <w:rsid w:val="006F020C"/>
    <w:rsid w:val="007127B7"/>
    <w:rsid w:val="00716A69"/>
    <w:rsid w:val="0071798E"/>
    <w:rsid w:val="00732727"/>
    <w:rsid w:val="007416B6"/>
    <w:rsid w:val="0074569E"/>
    <w:rsid w:val="00746F48"/>
    <w:rsid w:val="0075404D"/>
    <w:rsid w:val="0076182A"/>
    <w:rsid w:val="00767B7E"/>
    <w:rsid w:val="007770C3"/>
    <w:rsid w:val="00784D24"/>
    <w:rsid w:val="00785FBA"/>
    <w:rsid w:val="00786E4A"/>
    <w:rsid w:val="007875EB"/>
    <w:rsid w:val="0079182C"/>
    <w:rsid w:val="0079426B"/>
    <w:rsid w:val="007B1781"/>
    <w:rsid w:val="007D0719"/>
    <w:rsid w:val="007D1682"/>
    <w:rsid w:val="007D312A"/>
    <w:rsid w:val="007D3F19"/>
    <w:rsid w:val="007E23B0"/>
    <w:rsid w:val="007E23E5"/>
    <w:rsid w:val="007E6887"/>
    <w:rsid w:val="007F1991"/>
    <w:rsid w:val="007F2C2F"/>
    <w:rsid w:val="007F55FC"/>
    <w:rsid w:val="007F5665"/>
    <w:rsid w:val="00800112"/>
    <w:rsid w:val="00804ABC"/>
    <w:rsid w:val="00813348"/>
    <w:rsid w:val="00821897"/>
    <w:rsid w:val="008253BB"/>
    <w:rsid w:val="0083706E"/>
    <w:rsid w:val="008408F6"/>
    <w:rsid w:val="008423A5"/>
    <w:rsid w:val="00850625"/>
    <w:rsid w:val="00853718"/>
    <w:rsid w:val="00855221"/>
    <w:rsid w:val="00860645"/>
    <w:rsid w:val="008639CA"/>
    <w:rsid w:val="00871F71"/>
    <w:rsid w:val="00872FD8"/>
    <w:rsid w:val="00885AF4"/>
    <w:rsid w:val="008936FC"/>
    <w:rsid w:val="008939CD"/>
    <w:rsid w:val="0089421C"/>
    <w:rsid w:val="008B768C"/>
    <w:rsid w:val="008C4DB1"/>
    <w:rsid w:val="008C4EAF"/>
    <w:rsid w:val="008C5176"/>
    <w:rsid w:val="008C7C09"/>
    <w:rsid w:val="008C7FD0"/>
    <w:rsid w:val="008D32D5"/>
    <w:rsid w:val="008E1DE7"/>
    <w:rsid w:val="008E707C"/>
    <w:rsid w:val="008F75F6"/>
    <w:rsid w:val="00900B08"/>
    <w:rsid w:val="00902155"/>
    <w:rsid w:val="00902FA3"/>
    <w:rsid w:val="00923564"/>
    <w:rsid w:val="0092392E"/>
    <w:rsid w:val="009315F9"/>
    <w:rsid w:val="00931AE1"/>
    <w:rsid w:val="00933499"/>
    <w:rsid w:val="00935C98"/>
    <w:rsid w:val="00943DCE"/>
    <w:rsid w:val="00946945"/>
    <w:rsid w:val="00951248"/>
    <w:rsid w:val="0095152F"/>
    <w:rsid w:val="00952916"/>
    <w:rsid w:val="00954C49"/>
    <w:rsid w:val="00955E37"/>
    <w:rsid w:val="00957CB6"/>
    <w:rsid w:val="0097099F"/>
    <w:rsid w:val="00971997"/>
    <w:rsid w:val="00971FFC"/>
    <w:rsid w:val="00973AA6"/>
    <w:rsid w:val="00980D94"/>
    <w:rsid w:val="0098660A"/>
    <w:rsid w:val="009931C3"/>
    <w:rsid w:val="009949E9"/>
    <w:rsid w:val="009B2C43"/>
    <w:rsid w:val="009B4EAE"/>
    <w:rsid w:val="009B7573"/>
    <w:rsid w:val="009C22F4"/>
    <w:rsid w:val="009C2A4B"/>
    <w:rsid w:val="009C2E98"/>
    <w:rsid w:val="009C77A0"/>
    <w:rsid w:val="009D3447"/>
    <w:rsid w:val="009D4711"/>
    <w:rsid w:val="009E4DB6"/>
    <w:rsid w:val="009F1185"/>
    <w:rsid w:val="009F18CD"/>
    <w:rsid w:val="009F2A13"/>
    <w:rsid w:val="009F5540"/>
    <w:rsid w:val="009F7527"/>
    <w:rsid w:val="00A04EB0"/>
    <w:rsid w:val="00A05F3E"/>
    <w:rsid w:val="00A0673E"/>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446B"/>
    <w:rsid w:val="00AD5620"/>
    <w:rsid w:val="00AD656B"/>
    <w:rsid w:val="00AD73D6"/>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159C"/>
    <w:rsid w:val="00B53C56"/>
    <w:rsid w:val="00B57DAF"/>
    <w:rsid w:val="00B61B99"/>
    <w:rsid w:val="00B77EA6"/>
    <w:rsid w:val="00B81598"/>
    <w:rsid w:val="00B841F1"/>
    <w:rsid w:val="00B862FE"/>
    <w:rsid w:val="00B944D6"/>
    <w:rsid w:val="00B96426"/>
    <w:rsid w:val="00BB480D"/>
    <w:rsid w:val="00BB4DF0"/>
    <w:rsid w:val="00BC289F"/>
    <w:rsid w:val="00BC2D50"/>
    <w:rsid w:val="00BC5361"/>
    <w:rsid w:val="00BC5460"/>
    <w:rsid w:val="00BC6B50"/>
    <w:rsid w:val="00BC6DF2"/>
    <w:rsid w:val="00BD0E25"/>
    <w:rsid w:val="00BF569C"/>
    <w:rsid w:val="00BF5BD6"/>
    <w:rsid w:val="00C03A44"/>
    <w:rsid w:val="00C03E31"/>
    <w:rsid w:val="00C21591"/>
    <w:rsid w:val="00C33E72"/>
    <w:rsid w:val="00C354B2"/>
    <w:rsid w:val="00C35554"/>
    <w:rsid w:val="00C42709"/>
    <w:rsid w:val="00C52575"/>
    <w:rsid w:val="00C533CC"/>
    <w:rsid w:val="00C5751C"/>
    <w:rsid w:val="00C61BFC"/>
    <w:rsid w:val="00C62B85"/>
    <w:rsid w:val="00C65438"/>
    <w:rsid w:val="00C87FD8"/>
    <w:rsid w:val="00C91381"/>
    <w:rsid w:val="00C91CBB"/>
    <w:rsid w:val="00C94CC6"/>
    <w:rsid w:val="00CB4E70"/>
    <w:rsid w:val="00CC09B6"/>
    <w:rsid w:val="00CC14FE"/>
    <w:rsid w:val="00CC666F"/>
    <w:rsid w:val="00CC6BAC"/>
    <w:rsid w:val="00CD1E3F"/>
    <w:rsid w:val="00CE44F6"/>
    <w:rsid w:val="00CE49DA"/>
    <w:rsid w:val="00CE7B61"/>
    <w:rsid w:val="00D00095"/>
    <w:rsid w:val="00D114F0"/>
    <w:rsid w:val="00D1689A"/>
    <w:rsid w:val="00D20620"/>
    <w:rsid w:val="00D254F7"/>
    <w:rsid w:val="00D26091"/>
    <w:rsid w:val="00D2685C"/>
    <w:rsid w:val="00D272B3"/>
    <w:rsid w:val="00D32131"/>
    <w:rsid w:val="00D34E7C"/>
    <w:rsid w:val="00D34F17"/>
    <w:rsid w:val="00D35489"/>
    <w:rsid w:val="00D36350"/>
    <w:rsid w:val="00D36AFE"/>
    <w:rsid w:val="00D51276"/>
    <w:rsid w:val="00D53BDB"/>
    <w:rsid w:val="00D7035F"/>
    <w:rsid w:val="00DA634F"/>
    <w:rsid w:val="00DA65AC"/>
    <w:rsid w:val="00DB1913"/>
    <w:rsid w:val="00DB56A2"/>
    <w:rsid w:val="00DC410D"/>
    <w:rsid w:val="00DC4B63"/>
    <w:rsid w:val="00DC5A81"/>
    <w:rsid w:val="00DC68CA"/>
    <w:rsid w:val="00DC7CBA"/>
    <w:rsid w:val="00DD0C38"/>
    <w:rsid w:val="00DD73B7"/>
    <w:rsid w:val="00DF06E2"/>
    <w:rsid w:val="00DF28BC"/>
    <w:rsid w:val="00DF34B9"/>
    <w:rsid w:val="00E01053"/>
    <w:rsid w:val="00E0480F"/>
    <w:rsid w:val="00E07ACF"/>
    <w:rsid w:val="00E16BA4"/>
    <w:rsid w:val="00E22135"/>
    <w:rsid w:val="00E245F8"/>
    <w:rsid w:val="00E331A1"/>
    <w:rsid w:val="00E33202"/>
    <w:rsid w:val="00E336A9"/>
    <w:rsid w:val="00E472B1"/>
    <w:rsid w:val="00E50624"/>
    <w:rsid w:val="00E5285B"/>
    <w:rsid w:val="00E568DF"/>
    <w:rsid w:val="00E64269"/>
    <w:rsid w:val="00E82267"/>
    <w:rsid w:val="00E853CE"/>
    <w:rsid w:val="00E867B6"/>
    <w:rsid w:val="00EA010F"/>
    <w:rsid w:val="00EA136E"/>
    <w:rsid w:val="00EB2787"/>
    <w:rsid w:val="00EB2CAB"/>
    <w:rsid w:val="00ED1733"/>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565BC"/>
    <w:rsid w:val="00F602DF"/>
    <w:rsid w:val="00F754A1"/>
    <w:rsid w:val="00F81FD9"/>
    <w:rsid w:val="00F83B72"/>
    <w:rsid w:val="00F841AA"/>
    <w:rsid w:val="00F84A94"/>
    <w:rsid w:val="00F87E96"/>
    <w:rsid w:val="00FA23E8"/>
    <w:rsid w:val="00FA245C"/>
    <w:rsid w:val="00FB52A5"/>
    <w:rsid w:val="00FB7130"/>
    <w:rsid w:val="00FC3F4F"/>
    <w:rsid w:val="00FC5839"/>
    <w:rsid w:val="00FD3CC1"/>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2F621635"/>
    <w:rsid w:val="319F7F4E"/>
    <w:rsid w:val="3304709D"/>
    <w:rsid w:val="36AA5135"/>
    <w:rsid w:val="376D39B2"/>
    <w:rsid w:val="37E16F03"/>
    <w:rsid w:val="38D469F0"/>
    <w:rsid w:val="3D98207C"/>
    <w:rsid w:val="3E78745D"/>
    <w:rsid w:val="437D2BA7"/>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53"/>
    <w:unhideWhenUsed/>
    <w:qFormat/>
    <w:uiPriority w:val="0"/>
    <w:rPr>
      <w:rFonts w:ascii="宋体" w:hAnsi="Courier New"/>
    </w:r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000FF" w:themeColor="hyperlink"/>
      <w:u w:val="single"/>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8"/>
    <w:link w:val="3"/>
    <w:qFormat/>
    <w:uiPriority w:val="9"/>
    <w:rPr>
      <w:rFonts w:ascii="Times New Roman" w:hAnsi="Times New Roman"/>
      <w:b/>
      <w:bCs/>
      <w:kern w:val="44"/>
      <w:sz w:val="44"/>
      <w:szCs w:val="44"/>
    </w:rPr>
  </w:style>
  <w:style w:type="character" w:customStyle="1" w:styleId="32">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8"/>
    <w:link w:val="10"/>
    <w:semiHidden/>
    <w:qFormat/>
    <w:uiPriority w:val="99"/>
    <w:rPr>
      <w:rFonts w:ascii="Times New Roman" w:hAnsi="Times New Roman"/>
      <w:kern w:val="2"/>
      <w:sz w:val="18"/>
      <w:szCs w:val="18"/>
    </w:rPr>
  </w:style>
  <w:style w:type="character" w:customStyle="1" w:styleId="35">
    <w:name w:val="标题 3 Char"/>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3">
    <w:name w:val="纯文本 Char"/>
    <w:basedOn w:val="18"/>
    <w:link w:val="9"/>
    <w:uiPriority w:val="0"/>
    <w:rPr>
      <w:rFonts w:ascii="宋体" w:hAnsi="Courier New" w:eastAsia="宋体" w:cs="Times New Roman"/>
      <w:kern w:val="2"/>
      <w:sz w:val="21"/>
      <w:szCs w:val="24"/>
    </w:rPr>
  </w:style>
  <w:style w:type="paragraph" w:customStyle="1" w:styleId="54">
    <w:name w:val="WPSOffice手动目录 1"/>
    <w:uiPriority w:val="0"/>
    <w:rPr>
      <w:rFonts w:asciiTheme="minorHAnsi" w:hAnsiTheme="minorHAnsi" w:eastAsiaTheme="minorEastAsia" w:cstheme="minorBidi"/>
      <w:lang w:val="en-US" w:eastAsia="zh-CN" w:bidi="ar-SA"/>
    </w:rPr>
  </w:style>
  <w:style w:type="paragraph" w:customStyle="1" w:styleId="55">
    <w:name w:val="WPSOffice手动目录 2"/>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a:t> </a:t>
            </a:r>
            <a:r>
              <a:rPr lang="en-US" altLang="zh-CN" sz="1600"/>
              <a:t>2022</a:t>
            </a:r>
            <a:r>
              <a:rPr lang="zh-CN" altLang="en-US" sz="1600"/>
              <a:t>年收入支出变化情况</a:t>
            </a:r>
            <a:endParaRPr lang="zh-CN" altLang="en-US" sz="1600"/>
          </a:p>
        </c:rich>
      </c:tx>
      <c:layout>
        <c:manualLayout>
          <c:xMode val="edge"/>
          <c:yMode val="edge"/>
          <c:x val="0.271347112860892"/>
          <c:y val="0.0324074074074075"/>
        </c:manualLayout>
      </c:layout>
      <c:overlay val="0"/>
    </c:title>
    <c:autoTitleDeleted val="0"/>
    <c:plotArea>
      <c:layout/>
      <c:barChart>
        <c:barDir val="col"/>
        <c:grouping val="clustered"/>
        <c:varyColors val="0"/>
        <c:ser>
          <c:idx val="0"/>
          <c:order val="0"/>
          <c:tx>
            <c:strRef>
              <c:f>Sheet1!$D$6:$D$7</c:f>
              <c:strCache>
                <c:ptCount val="1"/>
                <c:pt idx="0">
                  <c:v>单位：万元 收入支出总计</c:v>
                </c:pt>
              </c:strCache>
            </c:strRef>
          </c:tx>
          <c:invertIfNegative val="0"/>
          <c:dLbls>
            <c:delete val="1"/>
          </c:dLbls>
          <c:cat>
            <c:numRef>
              <c:f>Sheet1!$C$8:$C$12</c:f>
              <c:numCache>
                <c:formatCode>General</c:formatCode>
                <c:ptCount val="5"/>
                <c:pt idx="0">
                  <c:v>2021</c:v>
                </c:pt>
                <c:pt idx="1">
                  <c:v>2022</c:v>
                </c:pt>
                <c:pt idx="3">
                  <c:v>2021</c:v>
                </c:pt>
                <c:pt idx="4">
                  <c:v>2022</c:v>
                </c:pt>
              </c:numCache>
            </c:numRef>
          </c:cat>
          <c:val>
            <c:numRef>
              <c:f>Sheet1!$D$8:$D$12</c:f>
              <c:numCache>
                <c:formatCode>General</c:formatCode>
                <c:ptCount val="5"/>
                <c:pt idx="0">
                  <c:v>3557.36</c:v>
                </c:pt>
                <c:pt idx="1">
                  <c:v>2867.44</c:v>
                </c:pt>
                <c:pt idx="3">
                  <c:v>3355.62</c:v>
                </c:pt>
                <c:pt idx="4">
                  <c:v>3660.17</c:v>
                </c:pt>
              </c:numCache>
            </c:numRef>
          </c:val>
        </c:ser>
        <c:dLbls>
          <c:showLegendKey val="0"/>
          <c:showVal val="0"/>
          <c:showCatName val="0"/>
          <c:showSerName val="0"/>
          <c:showPercent val="0"/>
          <c:showBubbleSize val="0"/>
        </c:dLbls>
        <c:gapWidth val="150"/>
        <c:axId val="60353536"/>
        <c:axId val="60400384"/>
      </c:barChart>
      <c:catAx>
        <c:axId val="6035353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400384"/>
        <c:crosses val="autoZero"/>
        <c:auto val="1"/>
        <c:lblAlgn val="ctr"/>
        <c:lblOffset val="100"/>
        <c:noMultiLvlLbl val="0"/>
      </c:catAx>
      <c:valAx>
        <c:axId val="6040038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353536"/>
        <c:crosses val="autoZero"/>
        <c:crossBetween val="between"/>
      </c:valAx>
      <c:spPr>
        <a:solidFill>
          <a:schemeClr val="bg1"/>
        </a:solidFill>
        <a:ln>
          <a:noFill/>
        </a:ln>
        <a:effectLst/>
      </c:spPr>
    </c:plotArea>
    <c:legend>
      <c:legendPos val="r"/>
      <c:layout>
        <c:manualLayout>
          <c:xMode val="edge"/>
          <c:yMode val="edge"/>
          <c:x val="0.663209755030623"/>
          <c:y val="0.329437518226888"/>
          <c:w val="0.242345800524935"/>
          <c:h val="0.3568653397491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en-US" altLang="zh-CN" sz="1400"/>
              <a:t>2022</a:t>
            </a:r>
            <a:r>
              <a:rPr lang="zh-CN" altLang="en-US" sz="1400"/>
              <a:t>年部门收入结构图         单位：万元</a:t>
            </a:r>
            <a:endParaRPr lang="zh-CN" altLang="en-US" sz="1400"/>
          </a:p>
        </c:rich>
      </c:tx>
      <c:layout/>
      <c:overlay val="0"/>
    </c:title>
    <c:autoTitleDeleted val="0"/>
    <c:plotArea>
      <c:layout>
        <c:manualLayout>
          <c:layoutTarget val="inner"/>
          <c:xMode val="edge"/>
          <c:yMode val="edge"/>
          <c:x val="0.0548485605965921"/>
          <c:y val="0.182789317507419"/>
          <c:w val="0.517328042328043"/>
          <c:h val="0.773689416419391"/>
        </c:manualLayout>
      </c:layout>
      <c:pieChart>
        <c:varyColors val="1"/>
        <c:ser>
          <c:idx val="0"/>
          <c:order val="0"/>
          <c:tx>
            <c:strRef>
              <c:f>Sheet1!$F$24:$F$25</c:f>
              <c:strCache>
                <c:ptCount val="1"/>
                <c:pt idx="0">
                  <c:v>2022年部门收入结构图 单位：万元</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Sheet1!$E$26:$E$33</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Sheet1!$F$26:$F$33</c:f>
              <c:numCache>
                <c:formatCode>General</c:formatCode>
                <c:ptCount val="8"/>
                <c:pt idx="0">
                  <c:v>2651.31</c:v>
                </c:pt>
                <c:pt idx="1">
                  <c:v>0</c:v>
                </c:pt>
                <c:pt idx="2">
                  <c:v>0</c:v>
                </c:pt>
                <c:pt idx="3">
                  <c:v>0</c:v>
                </c:pt>
                <c:pt idx="4">
                  <c:v>0</c:v>
                </c:pt>
                <c:pt idx="5">
                  <c:v>0</c:v>
                </c:pt>
                <c:pt idx="6">
                  <c:v>0</c:v>
                </c:pt>
                <c:pt idx="7">
                  <c:v>216.13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8441103952915"/>
          <c:y val="0.199636751637499"/>
          <c:w val="0.318868474773988"/>
          <c:h val="0.7052516803352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tx1"/>
                </a:solidFill>
                <a:latin typeface="+mn-lt"/>
                <a:ea typeface="+mn-ea"/>
                <a:cs typeface="+mn-cs"/>
              </a:defRPr>
            </a:pPr>
            <a:r>
              <a:rPr lang="en-US" altLang="zh-CN" sz="1600"/>
              <a:t>2022</a:t>
            </a:r>
            <a:r>
              <a:rPr lang="zh-CN" altLang="en-US" sz="1600"/>
              <a:t>年支出决算结构图          </a:t>
            </a:r>
            <a:endParaRPr lang="zh-CN" altLang="en-US" sz="1600"/>
          </a:p>
        </c:rich>
      </c:tx>
      <c:layout>
        <c:manualLayout>
          <c:xMode val="edge"/>
          <c:yMode val="edge"/>
          <c:x val="0.0561804461942257"/>
          <c:y val="0.0509259259259259"/>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Sheet1!$G$5:$G$6</c:f>
              <c:strCache>
                <c:ptCount val="1"/>
                <c:pt idx="0">
                  <c:v>支出决算结构图 单位：万元</c:v>
                </c:pt>
              </c:strCache>
            </c:strRef>
          </c:tx>
          <c:explosion val="25"/>
          <c:dPt>
            <c:idx val="0"/>
            <c:bubble3D val="0"/>
          </c:dPt>
          <c:dPt>
            <c:idx val="1"/>
            <c:bubble3D val="0"/>
          </c:dPt>
          <c:dPt>
            <c:idx val="2"/>
            <c:bubble3D val="0"/>
          </c:dPt>
          <c:dPt>
            <c:idx val="3"/>
            <c:bubble3D val="0"/>
          </c:dPt>
          <c:dPt>
            <c:idx val="4"/>
            <c:bubble3D val="0"/>
          </c:dPt>
          <c:dLbls>
            <c:delete val="1"/>
          </c:dLbls>
          <c:cat>
            <c:strRef>
              <c:f>Sheet1!$F$7:$F$11</c:f>
              <c:strCache>
                <c:ptCount val="5"/>
                <c:pt idx="0">
                  <c:v>基本支出</c:v>
                </c:pt>
                <c:pt idx="1">
                  <c:v>项目支出</c:v>
                </c:pt>
                <c:pt idx="2">
                  <c:v>上缴上级支出</c:v>
                </c:pt>
                <c:pt idx="3">
                  <c:v>经营支出</c:v>
                </c:pt>
                <c:pt idx="4">
                  <c:v>对附属单位补助支出</c:v>
                </c:pt>
              </c:strCache>
            </c:strRef>
          </c:cat>
          <c:val>
            <c:numRef>
              <c:f>Sheet1!$G$7:$G$11</c:f>
              <c:numCache>
                <c:formatCode>General</c:formatCode>
                <c:ptCount val="5"/>
                <c:pt idx="0">
                  <c:v>2510.4</c:v>
                </c:pt>
                <c:pt idx="1">
                  <c:v>1149.77</c:v>
                </c:pt>
                <c:pt idx="2">
                  <c:v>0</c:v>
                </c:pt>
                <c:pt idx="3">
                  <c:v>0</c:v>
                </c:pt>
                <c:pt idx="4">
                  <c:v>0</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noFill/>
    <a:ln w="9525" cap="flat" cmpd="sng" algn="ctr">
      <a:solidFill>
        <a:schemeClr val="accent1"/>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443840047325"/>
          <c:y val="0.159316816730266"/>
          <c:w val="0.635106393063738"/>
          <c:h val="0.516562824523407"/>
        </c:manualLayout>
      </c:layout>
      <c:barChart>
        <c:barDir val="col"/>
        <c:grouping val="clustered"/>
        <c:varyColors val="0"/>
        <c:ser>
          <c:idx val="0"/>
          <c:order val="0"/>
          <c:tx>
            <c:strRef>
              <c:f>Sheet1!$E$16</c:f>
              <c:strCache>
                <c:ptCount val="1"/>
                <c:pt idx="0">
                  <c:v>财政拨款收入</c:v>
                </c:pt>
              </c:strCache>
            </c:strRef>
          </c:tx>
          <c:invertIfNegative val="0"/>
          <c:dLbls>
            <c:delete val="1"/>
          </c:dLbls>
          <c:cat>
            <c:multiLvlStrRef>
              <c:f>Sheet1!$F$13:$G$15</c:f>
              <c:multiLvlStrCache>
                <c:ptCount val="2"/>
                <c:lvl>
                  <c:pt idx="0">
                    <c:v>2021年</c:v>
                  </c:pt>
                  <c:pt idx="1">
                    <c:v>2022年</c:v>
                  </c:pt>
                </c:lvl>
                <c:lvl>
                  <c:pt idx="1">
                    <c:v>单位：万元</c:v>
                  </c:pt>
                </c:lvl>
              </c:multiLvlStrCache>
            </c:multiLvlStrRef>
          </c:cat>
          <c:val>
            <c:numRef>
              <c:f>Sheet1!$F$16:$G$16</c:f>
              <c:numCache>
                <c:formatCode>General</c:formatCode>
                <c:ptCount val="2"/>
                <c:pt idx="0">
                  <c:v>2720.39</c:v>
                </c:pt>
                <c:pt idx="1">
                  <c:v>2651.31</c:v>
                </c:pt>
              </c:numCache>
            </c:numRef>
          </c:val>
        </c:ser>
        <c:ser>
          <c:idx val="1"/>
          <c:order val="1"/>
          <c:tx>
            <c:strRef>
              <c:f>Sheet1!$E$17</c:f>
              <c:strCache>
                <c:ptCount val="1"/>
                <c:pt idx="0">
                  <c:v>财政拨款支出</c:v>
                </c:pt>
              </c:strCache>
            </c:strRef>
          </c:tx>
          <c:invertIfNegative val="0"/>
          <c:dLbls>
            <c:delete val="1"/>
          </c:dLbls>
          <c:cat>
            <c:multiLvlStrRef>
              <c:f>Sheet1!$F$13:$G$15</c:f>
              <c:multiLvlStrCache>
                <c:ptCount val="2"/>
                <c:lvl>
                  <c:pt idx="0">
                    <c:v>2021年</c:v>
                  </c:pt>
                  <c:pt idx="1">
                    <c:v>2022年</c:v>
                  </c:pt>
                </c:lvl>
                <c:lvl>
                  <c:pt idx="1">
                    <c:v>单位：万元</c:v>
                  </c:pt>
                </c:lvl>
              </c:multiLvlStrCache>
            </c:multiLvlStrRef>
          </c:cat>
          <c:val>
            <c:numRef>
              <c:f>Sheet1!$F$17:$G$17</c:f>
              <c:numCache>
                <c:formatCode>General</c:formatCode>
                <c:ptCount val="2"/>
                <c:pt idx="0">
                  <c:v>2720.58</c:v>
                </c:pt>
                <c:pt idx="1">
                  <c:v>2776</c:v>
                </c:pt>
              </c:numCache>
            </c:numRef>
          </c:val>
        </c:ser>
        <c:dLbls>
          <c:showLegendKey val="0"/>
          <c:showVal val="0"/>
          <c:showCatName val="0"/>
          <c:showSerName val="0"/>
          <c:showPercent val="0"/>
          <c:showBubbleSize val="0"/>
        </c:dLbls>
        <c:gapWidth val="150"/>
        <c:axId val="112850048"/>
        <c:axId val="112851584"/>
      </c:barChart>
      <c:catAx>
        <c:axId val="1128500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851584"/>
        <c:crosses val="autoZero"/>
        <c:auto val="1"/>
        <c:lblAlgn val="ctr"/>
        <c:lblOffset val="100"/>
        <c:noMultiLvlLbl val="0"/>
      </c:catAx>
      <c:valAx>
        <c:axId val="1128515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850048"/>
        <c:crosses val="autoZero"/>
        <c:crossBetween val="between"/>
      </c:valAx>
      <c:spPr>
        <a:noFill/>
        <a:ln>
          <a:noFill/>
        </a:ln>
        <a:effectLst/>
      </c:spPr>
    </c:plotArea>
    <c:legend>
      <c:legendPos val="r"/>
      <c:layout>
        <c:manualLayout>
          <c:xMode val="edge"/>
          <c:yMode val="edge"/>
          <c:x val="0.800181824731577"/>
          <c:y val="0.418175267743341"/>
          <c:w val="0.185370787837651"/>
          <c:h val="0.31439963991837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a:t>2022</a:t>
            </a:r>
            <a:r>
              <a:rPr lang="zh-CN" altLang="en-US" sz="1200"/>
              <a:t>年一般公共预算财政拨款支出变动情况表 </a:t>
            </a:r>
            <a:endParaRPr lang="zh-CN" altLang="en-US" sz="1200"/>
          </a:p>
        </c:rich>
      </c:tx>
      <c:layout/>
      <c:overlay val="0"/>
    </c:title>
    <c:autoTitleDeleted val="0"/>
    <c:plotArea>
      <c:layout/>
      <c:barChart>
        <c:barDir val="col"/>
        <c:grouping val="stacked"/>
        <c:varyColors val="0"/>
        <c:ser>
          <c:idx val="0"/>
          <c:order val="0"/>
          <c:tx>
            <c:strRef>
              <c:f>Sheet1!$F$45:$F$46</c:f>
              <c:strCache>
                <c:ptCount val="1"/>
                <c:pt idx="0">
                  <c:v>一般公共预算财政拨款支出变动情况表 单位：万元</c:v>
                </c:pt>
              </c:strCache>
            </c:strRef>
          </c:tx>
          <c:invertIfNegative val="0"/>
          <c:dLbls>
            <c:delete val="1"/>
          </c:dLbls>
          <c:cat>
            <c:strRef>
              <c:f>Sheet1!$E$47:$E$48</c:f>
              <c:strCache>
                <c:ptCount val="2"/>
                <c:pt idx="0">
                  <c:v>2021年</c:v>
                </c:pt>
                <c:pt idx="1">
                  <c:v>2022年</c:v>
                </c:pt>
              </c:strCache>
            </c:strRef>
          </c:cat>
          <c:val>
            <c:numRef>
              <c:f>Sheet1!$F$47:$F$48</c:f>
              <c:numCache>
                <c:formatCode>0.00_ </c:formatCode>
                <c:ptCount val="2"/>
                <c:pt idx="0">
                  <c:v>2663.5</c:v>
                </c:pt>
                <c:pt idx="1">
                  <c:v>2776</c:v>
                </c:pt>
              </c:numCache>
            </c:numRef>
          </c:val>
        </c:ser>
        <c:dLbls>
          <c:showLegendKey val="0"/>
          <c:showVal val="0"/>
          <c:showCatName val="0"/>
          <c:showSerName val="0"/>
          <c:showPercent val="0"/>
          <c:showBubbleSize val="0"/>
        </c:dLbls>
        <c:gapWidth val="150"/>
        <c:overlap val="100"/>
        <c:axId val="113121152"/>
        <c:axId val="113122688"/>
      </c:barChart>
      <c:catAx>
        <c:axId val="1131211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3122688"/>
        <c:crosses val="autoZero"/>
        <c:auto val="1"/>
        <c:lblAlgn val="ctr"/>
        <c:lblOffset val="100"/>
        <c:noMultiLvlLbl val="0"/>
      </c:catAx>
      <c:valAx>
        <c:axId val="113122688"/>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312115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zh-CN" sz="1200"/>
              <a:t>2022</a:t>
            </a:r>
            <a:r>
              <a:rPr lang="zh-CN" altLang="en-US" sz="1200"/>
              <a:t>年一般公共预算财政拨款支出决算结构      </a:t>
            </a:r>
            <a:endParaRPr lang="en-US" altLang="zh-CN" sz="1200"/>
          </a:p>
          <a:p>
            <a:pPr>
              <a:defRPr lang="zh-CN" sz="1600" b="1" i="0" u="none" strike="noStrike" kern="1200" baseline="0">
                <a:solidFill>
                  <a:schemeClr val="tx1"/>
                </a:solidFill>
                <a:latin typeface="+mn-lt"/>
                <a:ea typeface="+mn-ea"/>
                <a:cs typeface="+mn-cs"/>
              </a:defRPr>
            </a:pPr>
            <a:r>
              <a:rPr lang="zh-CN" altLang="en-US" sz="1200"/>
              <a:t>    单位：万元</a:t>
            </a:r>
            <a:endParaRPr lang="zh-CN" altLang="en-US" sz="12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Sheet1!$F$55:$F$56</c:f>
              <c:strCache>
                <c:ptCount val="1"/>
                <c:pt idx="0">
                  <c:v>一般公共预算财政拨款支出决算结构 单位：万元</c:v>
                </c:pt>
              </c:strCache>
            </c:strRef>
          </c:tx>
          <c:explosion val="0"/>
          <c:dPt>
            <c:idx val="0"/>
            <c:bubble3D val="0"/>
          </c:dPt>
          <c:dPt>
            <c:idx val="1"/>
            <c:bubble3D val="0"/>
          </c:dPt>
          <c:dPt>
            <c:idx val="2"/>
            <c:bubble3D val="0"/>
          </c:dPt>
          <c:dPt>
            <c:idx val="3"/>
            <c:bubble3D val="0"/>
          </c:dPt>
          <c:dLbls>
            <c:delete val="1"/>
          </c:dLbls>
          <c:cat>
            <c:strRef>
              <c:f>Sheet1!$E$57:$E$60</c:f>
              <c:strCache>
                <c:ptCount val="4"/>
                <c:pt idx="0">
                  <c:v>一般公共服务支出</c:v>
                </c:pt>
                <c:pt idx="1">
                  <c:v>社会保障和就业支出</c:v>
                </c:pt>
                <c:pt idx="2">
                  <c:v>卫生健康支出</c:v>
                </c:pt>
                <c:pt idx="3">
                  <c:v>住房保障支出</c:v>
                </c:pt>
              </c:strCache>
            </c:strRef>
          </c:cat>
          <c:val>
            <c:numRef>
              <c:f>Sheet1!$F$57:$F$60</c:f>
              <c:numCache>
                <c:formatCode>General</c:formatCode>
                <c:ptCount val="4"/>
                <c:pt idx="0">
                  <c:v>2090.91</c:v>
                </c:pt>
                <c:pt idx="1">
                  <c:v>509.63</c:v>
                </c:pt>
                <c:pt idx="2">
                  <c:v>0.18</c:v>
                </c:pt>
                <c:pt idx="3">
                  <c:v>175.27</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“三公”经费财政拨款支出结构        单位：万元</a:t>
            </a:r>
            <a:endParaRPr lang="zh-CN" altLang="en-US" sz="12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Sheet1!$F$74:$F$75</c:f>
              <c:strCache>
                <c:ptCount val="1"/>
                <c:pt idx="0">
                  <c:v>“三公”经费财政拨款支出结构 单位：万元</c:v>
                </c:pt>
              </c:strCache>
            </c:strRef>
          </c:tx>
          <c:explosion val="25"/>
          <c:dPt>
            <c:idx val="0"/>
            <c:bubble3D val="0"/>
          </c:dPt>
          <c:dPt>
            <c:idx val="1"/>
            <c:bubble3D val="0"/>
          </c:dPt>
          <c:dLbls>
            <c:delete val="1"/>
          </c:dLbls>
          <c:cat>
            <c:strRef>
              <c:f>Sheet1!$E$76:$E$77</c:f>
              <c:strCache>
                <c:ptCount val="2"/>
                <c:pt idx="0">
                  <c:v>公务用车运行维护费</c:v>
                </c:pt>
                <c:pt idx="1">
                  <c:v>公务接待费</c:v>
                </c:pt>
              </c:strCache>
            </c:strRef>
          </c:cat>
          <c:val>
            <c:numRef>
              <c:f>Sheet1!$F$76:$F$77</c:f>
              <c:numCache>
                <c:formatCode>General</c:formatCode>
                <c:ptCount val="2"/>
                <c:pt idx="0">
                  <c:v>5.7</c:v>
                </c:pt>
                <c:pt idx="1">
                  <c:v>2.37</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16D0-4325-4630-BC07-E182A5B0D31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38</Pages>
  <Words>15125</Words>
  <Characters>2874</Characters>
  <Lines>23</Lines>
  <Paragraphs>35</Paragraphs>
  <TotalTime>3</TotalTime>
  <ScaleCrop>false</ScaleCrop>
  <LinksUpToDate>false</LinksUpToDate>
  <CharactersWithSpaces>17964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2023-09-15T01:58:00Z</dcterms:created>
  <dc:creator>曹颖</dc:creator>
  <cp:lastModifiedBy>何宛儒</cp:lastModifiedBy>
  <cp:lastPrinted>2023-07-31T02:35:00Z</cp:lastPrinted>
  <dcterms:modified xsi:type="dcterms:W3CDTF">2023-09-15T08:20:20Z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9E68010B48504E66871F055A89C9B596</vt:lpwstr>
  </property>
</Properties>
</file>