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93"/>
        <w:rPr>
          <w:rFonts w:ascii="Times New Roman" w:eastAsia="方正小标宋简体"/>
          <w:color w:val="000000" w:themeColor="text1"/>
          <w:kern w:val="2"/>
          <w:sz w:val="72"/>
          <w:szCs w:val="72"/>
          <w14:textFill>
            <w14:solidFill>
              <w14:schemeClr w14:val="tx1"/>
            </w14:solidFill>
          </w14:textFill>
        </w:rPr>
      </w:pPr>
      <w:bookmarkStart w:id="0" w:name="_Toc15396597"/>
      <w:bookmarkStart w:id="1" w:name="_Toc15378441"/>
      <w:bookmarkStart w:id="2" w:name="_Toc15377193"/>
      <w:bookmarkStart w:id="3" w:name="_Toc15377425"/>
      <w:bookmarkStart w:id="4" w:name="_Toc15306267"/>
      <w:bookmarkStart w:id="5" w:name="_Toc15396475"/>
    </w:p>
    <w:p>
      <w:pPr>
        <w:pStyle w:val="8"/>
        <w:spacing w:before="93"/>
        <w:rPr>
          <w:rFonts w:ascii="Times New Roman" w:eastAsia="方正小标宋简体"/>
          <w:color w:val="000000" w:themeColor="text1"/>
          <w:kern w:val="2"/>
          <w:sz w:val="72"/>
          <w:szCs w:val="72"/>
          <w14:textFill>
            <w14:solidFill>
              <w14:schemeClr w14:val="tx1"/>
            </w14:solidFill>
          </w14:textFill>
        </w:rPr>
      </w:pPr>
    </w:p>
    <w:p>
      <w:pPr>
        <w:pStyle w:val="8"/>
        <w:spacing w:before="93"/>
        <w:rPr>
          <w:rFonts w:ascii="Times New Roman" w:eastAsia="方正小标宋简体"/>
          <w:color w:val="000000" w:themeColor="text1"/>
          <w:kern w:val="2"/>
          <w:sz w:val="72"/>
          <w:szCs w:val="72"/>
          <w14:textFill>
            <w14:solidFill>
              <w14:schemeClr w14:val="tx1"/>
            </w14:solidFill>
          </w14:textFill>
        </w:rPr>
      </w:pPr>
    </w:p>
    <w:p>
      <w:pPr>
        <w:pStyle w:val="8"/>
        <w:spacing w:before="93"/>
        <w:jc w:val="center"/>
        <w:rPr>
          <w:rFonts w:ascii="Times New Roman" w:eastAsia="方正小标宋简体"/>
          <w:color w:val="000000" w:themeColor="text1"/>
          <w:kern w:val="2"/>
          <w:sz w:val="44"/>
          <w:szCs w:val="44"/>
          <w14:textFill>
            <w14:solidFill>
              <w14:schemeClr w14:val="tx1"/>
            </w14:solidFill>
          </w14:textFill>
        </w:rPr>
      </w:pPr>
      <w:bookmarkStart w:id="6" w:name="_Toc15396598"/>
      <w:bookmarkStart w:id="7" w:name="_Toc15378442"/>
      <w:bookmarkStart w:id="8" w:name="_Toc15396476"/>
      <w:bookmarkStart w:id="9" w:name="_Toc15377194"/>
      <w:bookmarkStart w:id="10" w:name="_Toc15377426"/>
      <w:r>
        <w:rPr>
          <w:rFonts w:ascii="Times New Roman" w:eastAsia="方正小标宋简体"/>
          <w:color w:val="000000" w:themeColor="text1"/>
          <w:kern w:val="2"/>
          <w:sz w:val="44"/>
          <w:szCs w:val="44"/>
          <w14:textFill>
            <w14:solidFill>
              <w14:schemeClr w14:val="tx1"/>
            </w14:solidFill>
          </w14:textFill>
        </w:rPr>
        <w:t>2024年度</w:t>
      </w:r>
    </w:p>
    <w:p>
      <w:pPr>
        <w:pStyle w:val="8"/>
        <w:spacing w:before="93"/>
        <w:jc w:val="center"/>
        <w:rPr>
          <w:rFonts w:ascii="Times New Roman" w:eastAsia="方正小标宋简体"/>
          <w:color w:val="000000" w:themeColor="text1"/>
          <w:kern w:val="2"/>
          <w:sz w:val="44"/>
          <w:szCs w:val="44"/>
          <w14:textFill>
            <w14:solidFill>
              <w14:schemeClr w14:val="tx1"/>
            </w14:solidFill>
          </w14:textFill>
        </w:rPr>
      </w:pPr>
      <w:bookmarkStart w:id="11" w:name="_Toc15306268"/>
      <w:r>
        <w:rPr>
          <w:rFonts w:ascii="Times New Roman" w:eastAsia="方正小标宋简体"/>
          <w:color w:val="000000" w:themeColor="text1"/>
          <w:kern w:val="2"/>
          <w:sz w:val="44"/>
          <w:szCs w:val="44"/>
          <w14:textFill>
            <w14:solidFill>
              <w14:schemeClr w14:val="tx1"/>
            </w14:solidFill>
          </w14:textFill>
        </w:rPr>
        <w:t>攀枝花市发展和改革委员会部门决算</w:t>
      </w:r>
      <w:bookmarkEnd w:id="6"/>
      <w:bookmarkEnd w:id="7"/>
      <w:bookmarkEnd w:id="8"/>
      <w:bookmarkEnd w:id="9"/>
      <w:bookmarkEnd w:id="10"/>
      <w:bookmarkEnd w:id="11"/>
    </w:p>
    <w:p>
      <w:pPr>
        <w:jc w:val="center"/>
        <w:outlineLvl w:val="0"/>
        <w:rPr>
          <w:rFonts w:eastAsia="方正小标宋简体"/>
          <w:color w:val="000000" w:themeColor="text1"/>
          <w:sz w:val="72"/>
          <w:szCs w:val="72"/>
          <w14:textFill>
            <w14:solidFill>
              <w14:schemeClr w14:val="tx1"/>
            </w14:solidFill>
          </w14:textFill>
        </w:rPr>
      </w:pPr>
    </w:p>
    <w:p>
      <w:pPr>
        <w:pStyle w:val="19"/>
        <w:spacing w:before="0" w:after="0" w:line="240" w:lineRule="auto"/>
        <w:rPr>
          <w:rFonts w:ascii="Times New Roman" w:hAnsi="Times New Roman"/>
          <w:color w:val="000000" w:themeColor="text1"/>
          <w14:textFill>
            <w14:solidFill>
              <w14:schemeClr w14:val="tx1"/>
            </w14:solidFill>
          </w14:textFill>
        </w:rPr>
        <w:sectPr>
          <w:footerReference r:id="rId5" w:type="first"/>
          <w:headerReference r:id="rId3" w:type="default"/>
          <w:footerReference r:id="rId4" w:type="default"/>
          <w:pgSz w:w="11906" w:h="16838"/>
          <w:pgMar w:top="2098" w:right="1474" w:bottom="1985" w:left="1588" w:header="851" w:footer="992" w:gutter="0"/>
          <w:pgNumType w:fmt="numberInDash" w:start="1"/>
          <w:cols w:space="425" w:num="1"/>
          <w:titlePg/>
          <w:docGrid w:type="lines" w:linePitch="312" w:charSpace="0"/>
        </w:sectPr>
      </w:pPr>
    </w:p>
    <w:p>
      <w:pPr>
        <w:pStyle w:val="8"/>
        <w:spacing w:before="93"/>
        <w:jc w:val="center"/>
        <w:rPr>
          <w:rFonts w:ascii="Times New Roman" w:eastAsia="方正小标宋简体"/>
          <w:color w:val="000000" w:themeColor="text1"/>
          <w:kern w:val="2"/>
          <w:sz w:val="44"/>
          <w:szCs w:val="44"/>
          <w14:textFill>
            <w14:solidFill>
              <w14:schemeClr w14:val="tx1"/>
            </w14:solidFill>
          </w14:textFill>
        </w:rPr>
      </w:pPr>
    </w:p>
    <w:bookmarkEnd w:id="0"/>
    <w:bookmarkEnd w:id="1"/>
    <w:bookmarkEnd w:id="2"/>
    <w:bookmarkEnd w:id="3"/>
    <w:bookmarkEnd w:id="4"/>
    <w:bookmarkEnd w:id="5"/>
    <w:p>
      <w:pPr>
        <w:widowControl/>
        <w:jc w:val="center"/>
        <w:rPr>
          <w:rFonts w:eastAsia="黑体"/>
          <w:color w:val="000000" w:themeColor="text1"/>
          <w:sz w:val="48"/>
          <w:szCs w:val="48"/>
          <w14:textFill>
            <w14:solidFill>
              <w14:schemeClr w14:val="tx1"/>
            </w14:solidFill>
          </w14:textFill>
        </w:rPr>
      </w:pPr>
      <w:r>
        <w:rPr>
          <w:rFonts w:eastAsia="黑体"/>
          <w:color w:val="000000" w:themeColor="text1"/>
          <w:sz w:val="48"/>
          <w:szCs w:val="48"/>
          <w14:textFill>
            <w14:solidFill>
              <w14:schemeClr w14:val="tx1"/>
            </w14:solidFill>
          </w14:textFill>
        </w:rPr>
        <w:t>目录</w:t>
      </w:r>
    </w:p>
    <w:p>
      <w:pPr>
        <w:widowControl/>
        <w:jc w:val="center"/>
        <w:rPr>
          <w:rFonts w:eastAsia="黑体"/>
          <w:color w:val="000000" w:themeColor="text1"/>
          <w:sz w:val="28"/>
          <w:szCs w:val="28"/>
          <w14:textFill>
            <w14:solidFill>
              <w14:schemeClr w14:val="tx1"/>
            </w14:solidFill>
          </w14:textFill>
        </w:rPr>
      </w:pPr>
    </w:p>
    <w:p>
      <w:pPr>
        <w:pStyle w:val="13"/>
        <w:spacing w:before="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公开时间：2025年9月</w:t>
      </w:r>
      <w:r>
        <w:rPr>
          <w:rFonts w:hint="eastAsia" w:ascii="Times New Roman" w:hAnsi="Times New Roman" w:eastAsia="仿宋_GB2312"/>
          <w:color w:val="000000" w:themeColor="text1"/>
          <w:sz w:val="32"/>
          <w:szCs w:val="32"/>
          <w:lang w:val="en-US" w:eastAsia="zh-CN"/>
          <w14:textFill>
            <w14:solidFill>
              <w14:schemeClr w14:val="tx1"/>
            </w14:solidFill>
          </w14:textFill>
        </w:rPr>
        <w:t>15</w:t>
      </w:r>
      <w:r>
        <w:rPr>
          <w:rFonts w:ascii="Times New Roman" w:hAnsi="Times New Roman"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val="0"/>
        <w:snapToGrid w:val="0"/>
        <w:spacing w:before="0" w:line="400" w:lineRule="exact"/>
        <w:jc w:val="left"/>
        <w:textAlignment w:val="auto"/>
        <w:rPr>
          <w:rFonts w:hint="eastAsia" w:eastAsia="仿宋"/>
          <w:color w:val="000000" w:themeColor="text1"/>
          <w:sz w:val="24"/>
          <w:szCs w:val="24"/>
          <w:lang w:val="en-US"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第一部分 部门概况</w:t>
      </w:r>
      <w:r>
        <w:rPr>
          <w:b/>
          <w:color w:val="000000" w:themeColor="text1"/>
          <w:sz w:val="24"/>
          <w:szCs w:val="24"/>
          <w14:textFill>
            <w14:solidFill>
              <w14:schemeClr w14:val="tx1"/>
            </w14:solidFill>
          </w14:textFill>
        </w:rPr>
        <w:tab/>
      </w:r>
      <w:r>
        <w:rPr>
          <w:rFonts w:hint="eastAsia"/>
          <w:b/>
          <w:color w:val="000000" w:themeColor="text1"/>
          <w:sz w:val="24"/>
          <w:szCs w:val="24"/>
          <w:lang w:val="en-US" w:eastAsia="zh-CN"/>
          <w14:textFill>
            <w14:solidFill>
              <w14:schemeClr w14:val="tx1"/>
            </w14:solidFill>
          </w14:textFill>
        </w:rPr>
        <w:t>3</w:t>
      </w:r>
    </w:p>
    <w:p>
      <w:pPr>
        <w:pStyle w:val="14"/>
        <w:keepNext w:val="0"/>
        <w:keepLines w:val="0"/>
        <w:pageBreakBefore w:val="0"/>
        <w:widowControl w:val="0"/>
        <w:kinsoku/>
        <w:wordWrap/>
        <w:overflowPunct/>
        <w:topLinePunct w:val="0"/>
        <w:autoSpaceDE/>
        <w:autoSpaceDN/>
        <w:bidi w:val="0"/>
        <w:adjustRightInd w:val="0"/>
        <w:snapToGrid w:val="0"/>
        <w:spacing w:line="400" w:lineRule="exact"/>
        <w:ind w:left="0" w:leftChars="0" w:firstLine="640" w:firstLineChars="200"/>
        <w:jc w:val="left"/>
        <w:textAlignment w:val="auto"/>
        <w:rPr>
          <w:rFonts w:hint="eastAsia" w:eastAsia="宋体"/>
          <w:color w:val="000000" w:themeColor="text1"/>
          <w:sz w:val="24"/>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一、部门职责</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w:t>
      </w:r>
    </w:p>
    <w:p>
      <w:pPr>
        <w:pStyle w:val="14"/>
        <w:keepNext w:val="0"/>
        <w:keepLines w:val="0"/>
        <w:pageBreakBefore w:val="0"/>
        <w:widowControl w:val="0"/>
        <w:kinsoku/>
        <w:wordWrap/>
        <w:overflowPunct/>
        <w:topLinePunct w:val="0"/>
        <w:autoSpaceDE/>
        <w:autoSpaceDN/>
        <w:bidi w:val="0"/>
        <w:adjustRightInd w:val="0"/>
        <w:snapToGrid w:val="0"/>
        <w:spacing w:line="400" w:lineRule="exact"/>
        <w:ind w:left="0" w:leftChars="0" w:firstLine="640" w:firstLineChars="200"/>
        <w:jc w:val="left"/>
        <w:textAlignment w:val="auto"/>
        <w:rPr>
          <w:rFonts w:hint="eastAsia" w:eastAsia="宋体"/>
          <w:color w:val="000000" w:themeColor="text1"/>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二、机构设置</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4</w:t>
      </w:r>
    </w:p>
    <w:p>
      <w:pPr>
        <w:pStyle w:val="13"/>
        <w:keepNext w:val="0"/>
        <w:keepLines w:val="0"/>
        <w:pageBreakBefore w:val="0"/>
        <w:widowControl w:val="0"/>
        <w:kinsoku/>
        <w:wordWrap/>
        <w:overflowPunct/>
        <w:topLinePunct w:val="0"/>
        <w:autoSpaceDE/>
        <w:autoSpaceDN/>
        <w:bidi w:val="0"/>
        <w:adjustRightInd w:val="0"/>
        <w:snapToGrid w:val="0"/>
        <w:spacing w:before="0" w:line="400" w:lineRule="exact"/>
        <w:jc w:val="left"/>
        <w:textAlignment w:val="auto"/>
        <w:rPr>
          <w:rFonts w:hint="eastAsia" w:eastAsia="仿宋"/>
          <w:color w:val="000000" w:themeColor="text1"/>
          <w:sz w:val="24"/>
          <w:szCs w:val="24"/>
          <w:lang w:val="en-US"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第二部分 2024年度部门决算情况说明</w:t>
      </w:r>
      <w:r>
        <w:rPr>
          <w:b/>
          <w:color w:val="000000" w:themeColor="text1"/>
          <w:sz w:val="24"/>
          <w:szCs w:val="24"/>
          <w14:textFill>
            <w14:solidFill>
              <w14:schemeClr w14:val="tx1"/>
            </w14:solidFill>
          </w14:textFill>
        </w:rPr>
        <w:tab/>
      </w:r>
      <w:r>
        <w:rPr>
          <w:rFonts w:hint="eastAsia"/>
          <w:b/>
          <w:color w:val="000000" w:themeColor="text1"/>
          <w:sz w:val="24"/>
          <w:szCs w:val="24"/>
          <w:lang w:val="en-US" w:eastAsia="zh-CN"/>
          <w14:textFill>
            <w14:solidFill>
              <w14:schemeClr w14:val="tx1"/>
            </w14:solidFill>
          </w14:textFill>
        </w:rPr>
        <w:t>5</w:t>
      </w:r>
    </w:p>
    <w:p>
      <w:pPr>
        <w:pStyle w:val="14"/>
        <w:keepNext w:val="0"/>
        <w:keepLines w:val="0"/>
        <w:pageBreakBefore w:val="0"/>
        <w:widowControl w:val="0"/>
        <w:kinsoku/>
        <w:wordWrap/>
        <w:overflowPunct/>
        <w:topLinePunct w:val="0"/>
        <w:autoSpaceDE/>
        <w:autoSpaceDN/>
        <w:bidi w:val="0"/>
        <w:adjustRightInd w:val="0"/>
        <w:snapToGrid w:val="0"/>
        <w:spacing w:line="400" w:lineRule="exact"/>
        <w:ind w:left="0" w:leftChars="0" w:firstLine="640" w:firstLineChars="200"/>
        <w:jc w:val="left"/>
        <w:textAlignment w:val="auto"/>
        <w:rPr>
          <w:rFonts w:hint="eastAsia" w:ascii="仿宋" w:hAnsi="仿宋" w:eastAsia="宋体"/>
          <w:color w:val="000000" w:themeColor="text1"/>
          <w:sz w:val="24"/>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一、收入支出决算总体情况说明</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5</w:t>
      </w:r>
    </w:p>
    <w:p>
      <w:pPr>
        <w:pStyle w:val="14"/>
        <w:keepNext w:val="0"/>
        <w:keepLines w:val="0"/>
        <w:pageBreakBefore w:val="0"/>
        <w:widowControl w:val="0"/>
        <w:kinsoku/>
        <w:wordWrap/>
        <w:overflowPunct/>
        <w:topLinePunct w:val="0"/>
        <w:autoSpaceDE/>
        <w:autoSpaceDN/>
        <w:bidi w:val="0"/>
        <w:adjustRightInd w:val="0"/>
        <w:snapToGrid w:val="0"/>
        <w:ind w:left="0" w:leftChars="0" w:firstLine="640" w:firstLineChars="200"/>
        <w:jc w:val="left"/>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二、收入决算情况说明</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6</w:t>
      </w:r>
    </w:p>
    <w:p>
      <w:pPr>
        <w:pStyle w:val="14"/>
        <w:keepNext w:val="0"/>
        <w:keepLines w:val="0"/>
        <w:pageBreakBefore w:val="0"/>
        <w:widowControl w:val="0"/>
        <w:kinsoku/>
        <w:wordWrap/>
        <w:overflowPunct/>
        <w:topLinePunct w:val="0"/>
        <w:autoSpaceDE/>
        <w:autoSpaceDN/>
        <w:bidi w:val="0"/>
        <w:adjustRightInd w:val="0"/>
        <w:snapToGrid w:val="0"/>
        <w:ind w:left="0" w:leftChars="0" w:firstLine="640" w:firstLineChars="200"/>
        <w:jc w:val="left"/>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三、支出决算情况说明</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6</w:t>
      </w:r>
    </w:p>
    <w:p>
      <w:pPr>
        <w:pStyle w:val="14"/>
        <w:keepNext w:val="0"/>
        <w:keepLines w:val="0"/>
        <w:pageBreakBefore w:val="0"/>
        <w:widowControl w:val="0"/>
        <w:kinsoku/>
        <w:wordWrap/>
        <w:overflowPunct/>
        <w:topLinePunct w:val="0"/>
        <w:autoSpaceDE/>
        <w:autoSpaceDN/>
        <w:bidi w:val="0"/>
        <w:adjustRightInd w:val="0"/>
        <w:snapToGrid w:val="0"/>
        <w:ind w:left="0" w:leftChars="0" w:firstLine="640" w:firstLineChars="200"/>
        <w:jc w:val="left"/>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四、财政拨款收入支出决算总体情况说明</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7</w:t>
      </w:r>
    </w:p>
    <w:p>
      <w:pPr>
        <w:pStyle w:val="14"/>
        <w:keepNext w:val="0"/>
        <w:keepLines w:val="0"/>
        <w:pageBreakBefore w:val="0"/>
        <w:widowControl w:val="0"/>
        <w:kinsoku/>
        <w:wordWrap/>
        <w:overflowPunct/>
        <w:topLinePunct w:val="0"/>
        <w:autoSpaceDE/>
        <w:autoSpaceDN/>
        <w:bidi w:val="0"/>
        <w:adjustRightInd w:val="0"/>
        <w:snapToGrid w:val="0"/>
        <w:ind w:left="0" w:leftChars="0" w:firstLine="640" w:firstLineChars="200"/>
        <w:jc w:val="left"/>
        <w:textAlignment w:val="auto"/>
        <w:rPr>
          <w:rFonts w:hint="eastAsia"/>
          <w:color w:val="000000" w:themeColor="text1"/>
          <w:sz w:val="24"/>
          <w:szCs w:val="24"/>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五、一般公共预算财政拨款支出决算情况说明</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8</w:t>
      </w:r>
    </w:p>
    <w:p>
      <w:pPr>
        <w:pStyle w:val="14"/>
        <w:keepNext w:val="0"/>
        <w:keepLines w:val="0"/>
        <w:pageBreakBefore w:val="0"/>
        <w:widowControl w:val="0"/>
        <w:kinsoku/>
        <w:wordWrap/>
        <w:overflowPunct/>
        <w:topLinePunct w:val="0"/>
        <w:autoSpaceDE/>
        <w:autoSpaceDN/>
        <w:bidi w:val="0"/>
        <w:adjustRightInd w:val="0"/>
        <w:snapToGrid w:val="0"/>
        <w:ind w:left="0" w:leftChars="0" w:firstLine="640" w:firstLineChars="200"/>
        <w:jc w:val="left"/>
        <w:textAlignment w:val="auto"/>
        <w:rPr>
          <w:rFonts w:hint="default" w:eastAsia="仿宋_GB2312"/>
          <w:color w:val="000000" w:themeColor="text1"/>
          <w:sz w:val="32"/>
          <w:szCs w:val="32"/>
          <w:lang w:val="en-US"/>
          <w14:textFill>
            <w14:solidFill>
              <w14:schemeClr w14:val="tx1"/>
            </w14:solidFill>
          </w14:textFill>
        </w:rPr>
      </w:pPr>
      <w:r>
        <w:rPr>
          <w:rFonts w:eastAsia="仿宋_GB2312"/>
          <w:color w:val="000000" w:themeColor="text1"/>
          <w:sz w:val="32"/>
          <w:szCs w:val="32"/>
          <w14:textFill>
            <w14:solidFill>
              <w14:schemeClr w14:val="tx1"/>
            </w14:solidFill>
          </w14:textFill>
        </w:rPr>
        <w:t>六、一般公共预算财政拨款基本支出决算情况说明</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11</w:t>
      </w:r>
    </w:p>
    <w:p>
      <w:pPr>
        <w:pStyle w:val="14"/>
        <w:keepNext w:val="0"/>
        <w:keepLines w:val="0"/>
        <w:pageBreakBefore w:val="0"/>
        <w:widowControl w:val="0"/>
        <w:kinsoku/>
        <w:wordWrap/>
        <w:overflowPunct/>
        <w:topLinePunct w:val="0"/>
        <w:autoSpaceDE/>
        <w:autoSpaceDN/>
        <w:bidi w:val="0"/>
        <w:adjustRightInd w:val="0"/>
        <w:snapToGrid w:val="0"/>
        <w:ind w:left="0" w:leftChars="0" w:firstLine="640" w:firstLineChars="200"/>
        <w:jc w:val="left"/>
        <w:textAlignment w:val="auto"/>
        <w:rPr>
          <w:rFonts w:hint="eastAsia"/>
          <w:color w:val="000000" w:themeColor="text1"/>
          <w:sz w:val="24"/>
          <w:szCs w:val="24"/>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七、财政拨款“三公”经费支出决算情况说明</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11</w:t>
      </w:r>
    </w:p>
    <w:p>
      <w:pPr>
        <w:pStyle w:val="14"/>
        <w:keepNext w:val="0"/>
        <w:keepLines w:val="0"/>
        <w:pageBreakBefore w:val="0"/>
        <w:widowControl w:val="0"/>
        <w:kinsoku/>
        <w:wordWrap/>
        <w:overflowPunct/>
        <w:topLinePunct w:val="0"/>
        <w:autoSpaceDE/>
        <w:autoSpaceDN/>
        <w:bidi w:val="0"/>
        <w:adjustRightInd w:val="0"/>
        <w:snapToGrid w:val="0"/>
        <w:ind w:left="0" w:leftChars="0" w:firstLine="640" w:firstLineChars="200"/>
        <w:jc w:val="left"/>
        <w:textAlignment w:val="auto"/>
        <w:rPr>
          <w:rFonts w:hint="default" w:eastAsia="仿宋_GB2312"/>
          <w:color w:val="000000" w:themeColor="text1"/>
          <w:sz w:val="32"/>
          <w:szCs w:val="32"/>
          <w:lang w:val="en-US"/>
          <w14:textFill>
            <w14:solidFill>
              <w14:schemeClr w14:val="tx1"/>
            </w14:solidFill>
          </w14:textFill>
        </w:rPr>
      </w:pPr>
      <w:r>
        <w:rPr>
          <w:rFonts w:eastAsia="仿宋_GB2312"/>
          <w:color w:val="000000" w:themeColor="text1"/>
          <w:sz w:val="32"/>
          <w:szCs w:val="32"/>
          <w14:textFill>
            <w14:solidFill>
              <w14:schemeClr w14:val="tx1"/>
            </w14:solidFill>
          </w14:textFill>
        </w:rPr>
        <w:t>八、政府性基金预算支出决算情况说明</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14</w:t>
      </w:r>
    </w:p>
    <w:p>
      <w:pPr>
        <w:pStyle w:val="14"/>
        <w:keepNext w:val="0"/>
        <w:keepLines w:val="0"/>
        <w:pageBreakBefore w:val="0"/>
        <w:widowControl w:val="0"/>
        <w:kinsoku/>
        <w:wordWrap/>
        <w:overflowPunct/>
        <w:topLinePunct w:val="0"/>
        <w:autoSpaceDE/>
        <w:autoSpaceDN/>
        <w:bidi w:val="0"/>
        <w:adjustRightInd w:val="0"/>
        <w:snapToGrid w:val="0"/>
        <w:ind w:left="0" w:leftChars="0" w:firstLine="640" w:firstLineChars="200"/>
        <w:jc w:val="left"/>
        <w:textAlignment w:val="auto"/>
        <w:rPr>
          <w:rFonts w:hint="eastAsia"/>
          <w:color w:val="000000" w:themeColor="text1"/>
          <w:sz w:val="24"/>
          <w:szCs w:val="24"/>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九、国有资本经营预算支出决算情况说明</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14</w:t>
      </w:r>
    </w:p>
    <w:p>
      <w:pPr>
        <w:pStyle w:val="14"/>
        <w:keepNext w:val="0"/>
        <w:keepLines w:val="0"/>
        <w:pageBreakBefore w:val="0"/>
        <w:widowControl w:val="0"/>
        <w:kinsoku/>
        <w:wordWrap/>
        <w:overflowPunct/>
        <w:topLinePunct w:val="0"/>
        <w:autoSpaceDE/>
        <w:autoSpaceDN/>
        <w:bidi w:val="0"/>
        <w:adjustRightInd w:val="0"/>
        <w:snapToGrid w:val="0"/>
        <w:ind w:left="0" w:leftChars="0" w:firstLine="640" w:firstLineChars="200"/>
        <w:jc w:val="left"/>
        <w:textAlignment w:val="auto"/>
        <w:rPr>
          <w:rFonts w:hint="default" w:eastAsia="仿宋_GB2312"/>
          <w:color w:val="000000" w:themeColor="text1"/>
          <w:sz w:val="32"/>
          <w:szCs w:val="32"/>
          <w:lang w:val="en-US"/>
          <w14:textFill>
            <w14:solidFill>
              <w14:schemeClr w14:val="tx1"/>
            </w14:solidFill>
          </w14:textFill>
        </w:rPr>
      </w:pPr>
      <w:r>
        <w:rPr>
          <w:rFonts w:eastAsia="仿宋_GB2312"/>
          <w:color w:val="000000" w:themeColor="text1"/>
          <w:sz w:val="32"/>
          <w:szCs w:val="32"/>
          <w14:textFill>
            <w14:solidFill>
              <w14:schemeClr w14:val="tx1"/>
            </w14:solidFill>
          </w14:textFill>
        </w:rPr>
        <w:t>十、其他重要事项的情况说明</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14</w:t>
      </w:r>
    </w:p>
    <w:p>
      <w:pPr>
        <w:pStyle w:val="13"/>
        <w:adjustRightInd w:val="0"/>
        <w:snapToGrid w:val="0"/>
        <w:spacing w:before="0"/>
        <w:jc w:val="left"/>
        <w:rPr>
          <w:rFonts w:hint="default" w:ascii="Times New Roman" w:hAnsi="Times New Roman" w:eastAsia="黑体"/>
          <w:color w:val="000000" w:themeColor="text1"/>
          <w:sz w:val="32"/>
          <w:szCs w:val="32"/>
          <w:lang w:val="en-US"/>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第三部分 名词解释</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17</w:t>
      </w:r>
    </w:p>
    <w:p>
      <w:pPr>
        <w:pStyle w:val="13"/>
        <w:adjustRightInd w:val="0"/>
        <w:snapToGrid w:val="0"/>
        <w:spacing w:before="0"/>
        <w:jc w:val="left"/>
        <w:rPr>
          <w:rFonts w:hint="default" w:ascii="Times New Roman" w:hAnsi="Times New Roman" w:eastAsia="黑体"/>
          <w:color w:val="000000" w:themeColor="text1"/>
          <w:sz w:val="32"/>
          <w:szCs w:val="32"/>
          <w:lang w:val="en-US"/>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第四部分 附件</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22</w:t>
      </w:r>
    </w:p>
    <w:p>
      <w:pPr>
        <w:pStyle w:val="13"/>
        <w:adjustRightInd w:val="0"/>
        <w:snapToGrid w:val="0"/>
        <w:spacing w:before="0"/>
        <w:jc w:val="left"/>
        <w:rPr>
          <w:rFonts w:hint="default" w:ascii="Times New Roman" w:hAnsi="Times New Roman" w:eastAsia="仿宋"/>
          <w:color w:val="000000" w:themeColor="text1"/>
          <w:sz w:val="32"/>
          <w:szCs w:val="32"/>
          <w:lang w:val="en-US"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第五部分 附表</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36</w:t>
      </w:r>
    </w:p>
    <w:p>
      <w:pPr>
        <w:pStyle w:val="13"/>
        <w:keepNext w:val="0"/>
        <w:keepLines w:val="0"/>
        <w:pageBreakBefore w:val="0"/>
        <w:widowControl w:val="0"/>
        <w:kinsoku/>
        <w:wordWrap/>
        <w:overflowPunct/>
        <w:topLinePunct w:val="0"/>
        <w:autoSpaceDE/>
        <w:autoSpaceDN/>
        <w:bidi w:val="0"/>
        <w:adjustRightInd w:val="0"/>
        <w:snapToGrid w:val="0"/>
        <w:spacing w:before="0"/>
        <w:ind w:firstLine="640" w:firstLineChars="200"/>
        <w:jc w:val="left"/>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一、收入支出决算总表</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36</w:t>
      </w:r>
    </w:p>
    <w:p>
      <w:pPr>
        <w:pStyle w:val="13"/>
        <w:keepNext w:val="0"/>
        <w:keepLines w:val="0"/>
        <w:pageBreakBefore w:val="0"/>
        <w:widowControl w:val="0"/>
        <w:kinsoku/>
        <w:wordWrap/>
        <w:overflowPunct/>
        <w:topLinePunct w:val="0"/>
        <w:autoSpaceDE/>
        <w:autoSpaceDN/>
        <w:bidi w:val="0"/>
        <w:adjustRightInd w:val="0"/>
        <w:snapToGrid w:val="0"/>
        <w:spacing w:before="0"/>
        <w:ind w:firstLine="640" w:firstLineChars="200"/>
        <w:jc w:val="left"/>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二、收入决算表</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36</w:t>
      </w:r>
    </w:p>
    <w:p>
      <w:pPr>
        <w:pStyle w:val="13"/>
        <w:keepNext w:val="0"/>
        <w:keepLines w:val="0"/>
        <w:pageBreakBefore w:val="0"/>
        <w:widowControl w:val="0"/>
        <w:kinsoku/>
        <w:wordWrap/>
        <w:overflowPunct/>
        <w:topLinePunct w:val="0"/>
        <w:autoSpaceDE/>
        <w:autoSpaceDN/>
        <w:bidi w:val="0"/>
        <w:adjustRightInd w:val="0"/>
        <w:snapToGrid w:val="0"/>
        <w:spacing w:before="0"/>
        <w:ind w:firstLine="640" w:firstLineChars="200"/>
        <w:jc w:val="left"/>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三、支出决算表</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36</w:t>
      </w:r>
    </w:p>
    <w:p>
      <w:pPr>
        <w:pStyle w:val="13"/>
        <w:keepNext w:val="0"/>
        <w:keepLines w:val="0"/>
        <w:pageBreakBefore w:val="0"/>
        <w:widowControl w:val="0"/>
        <w:kinsoku/>
        <w:wordWrap/>
        <w:overflowPunct/>
        <w:topLinePunct w:val="0"/>
        <w:autoSpaceDE/>
        <w:autoSpaceDN/>
        <w:bidi w:val="0"/>
        <w:adjustRightInd w:val="0"/>
        <w:snapToGrid w:val="0"/>
        <w:spacing w:before="0"/>
        <w:ind w:firstLine="640" w:firstLineChars="200"/>
        <w:jc w:val="left"/>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四、财政拨款收入支出决算总表</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36</w:t>
      </w:r>
    </w:p>
    <w:p>
      <w:pPr>
        <w:pStyle w:val="13"/>
        <w:keepNext w:val="0"/>
        <w:keepLines w:val="0"/>
        <w:pageBreakBefore w:val="0"/>
        <w:widowControl w:val="0"/>
        <w:kinsoku/>
        <w:wordWrap/>
        <w:overflowPunct/>
        <w:topLinePunct w:val="0"/>
        <w:autoSpaceDE/>
        <w:autoSpaceDN/>
        <w:bidi w:val="0"/>
        <w:adjustRightInd w:val="0"/>
        <w:snapToGrid w:val="0"/>
        <w:spacing w:before="0"/>
        <w:ind w:firstLine="640" w:firstLineChars="200"/>
        <w:jc w:val="left"/>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五、财政拨款支出决算明细表</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36</w:t>
      </w:r>
    </w:p>
    <w:p>
      <w:pPr>
        <w:pStyle w:val="13"/>
        <w:keepNext w:val="0"/>
        <w:keepLines w:val="0"/>
        <w:pageBreakBefore w:val="0"/>
        <w:widowControl w:val="0"/>
        <w:kinsoku/>
        <w:wordWrap/>
        <w:overflowPunct/>
        <w:topLinePunct w:val="0"/>
        <w:autoSpaceDE/>
        <w:autoSpaceDN/>
        <w:bidi w:val="0"/>
        <w:adjustRightInd w:val="0"/>
        <w:snapToGrid w:val="0"/>
        <w:spacing w:before="0"/>
        <w:ind w:firstLine="640" w:firstLineChars="200"/>
        <w:jc w:val="left"/>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六、一般公共预算财政拨款支出决算表</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36</w:t>
      </w:r>
    </w:p>
    <w:p>
      <w:pPr>
        <w:pStyle w:val="13"/>
        <w:keepNext w:val="0"/>
        <w:keepLines w:val="0"/>
        <w:pageBreakBefore w:val="0"/>
        <w:widowControl w:val="0"/>
        <w:kinsoku/>
        <w:wordWrap/>
        <w:overflowPunct/>
        <w:topLinePunct w:val="0"/>
        <w:autoSpaceDE/>
        <w:autoSpaceDN/>
        <w:bidi w:val="0"/>
        <w:adjustRightInd w:val="0"/>
        <w:snapToGrid w:val="0"/>
        <w:spacing w:before="0"/>
        <w:ind w:firstLine="640" w:firstLineChars="200"/>
        <w:jc w:val="left"/>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七、一般公共预算财政拨款支出决算明细表</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36</w:t>
      </w:r>
    </w:p>
    <w:p>
      <w:pPr>
        <w:pStyle w:val="13"/>
        <w:keepNext w:val="0"/>
        <w:keepLines w:val="0"/>
        <w:pageBreakBefore w:val="0"/>
        <w:widowControl w:val="0"/>
        <w:kinsoku/>
        <w:wordWrap/>
        <w:overflowPunct/>
        <w:topLinePunct w:val="0"/>
        <w:autoSpaceDE/>
        <w:autoSpaceDN/>
        <w:bidi w:val="0"/>
        <w:adjustRightInd w:val="0"/>
        <w:snapToGrid w:val="0"/>
        <w:spacing w:before="0"/>
        <w:ind w:firstLine="640" w:firstLineChars="200"/>
        <w:jc w:val="left"/>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八、一般公共预算财政拨款基本支出决算明细表</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36</w:t>
      </w:r>
    </w:p>
    <w:p>
      <w:pPr>
        <w:pStyle w:val="13"/>
        <w:keepNext w:val="0"/>
        <w:keepLines w:val="0"/>
        <w:pageBreakBefore w:val="0"/>
        <w:widowControl w:val="0"/>
        <w:kinsoku/>
        <w:wordWrap/>
        <w:overflowPunct/>
        <w:topLinePunct w:val="0"/>
        <w:autoSpaceDE/>
        <w:autoSpaceDN/>
        <w:bidi w:val="0"/>
        <w:adjustRightInd w:val="0"/>
        <w:snapToGrid w:val="0"/>
        <w:spacing w:before="0"/>
        <w:ind w:firstLine="640" w:firstLineChars="200"/>
        <w:jc w:val="left"/>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九、一般公共预算财政拨款项目支出决算表</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36</w:t>
      </w:r>
    </w:p>
    <w:p>
      <w:pPr>
        <w:pStyle w:val="13"/>
        <w:keepNext w:val="0"/>
        <w:keepLines w:val="0"/>
        <w:pageBreakBefore w:val="0"/>
        <w:widowControl w:val="0"/>
        <w:kinsoku/>
        <w:wordWrap/>
        <w:overflowPunct/>
        <w:topLinePunct w:val="0"/>
        <w:autoSpaceDE/>
        <w:autoSpaceDN/>
        <w:bidi w:val="0"/>
        <w:adjustRightInd w:val="0"/>
        <w:snapToGrid w:val="0"/>
        <w:spacing w:before="0"/>
        <w:ind w:firstLine="640" w:firstLineChars="200"/>
        <w:jc w:val="left"/>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十、政府性基金预算财政拨款收入支出决算表</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36</w:t>
      </w:r>
    </w:p>
    <w:p>
      <w:pPr>
        <w:pStyle w:val="13"/>
        <w:keepNext w:val="0"/>
        <w:keepLines w:val="0"/>
        <w:pageBreakBefore w:val="0"/>
        <w:widowControl w:val="0"/>
        <w:kinsoku/>
        <w:wordWrap/>
        <w:overflowPunct/>
        <w:topLinePunct w:val="0"/>
        <w:autoSpaceDE/>
        <w:autoSpaceDN/>
        <w:bidi w:val="0"/>
        <w:adjustRightInd w:val="0"/>
        <w:snapToGrid w:val="0"/>
        <w:spacing w:before="0"/>
        <w:ind w:firstLine="640" w:firstLineChars="200"/>
        <w:jc w:val="left"/>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十一、国有资本经营预算财政拨款收入支出决算表</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36</w:t>
      </w:r>
    </w:p>
    <w:p>
      <w:pPr>
        <w:pStyle w:val="13"/>
        <w:keepNext w:val="0"/>
        <w:keepLines w:val="0"/>
        <w:pageBreakBefore w:val="0"/>
        <w:widowControl w:val="0"/>
        <w:kinsoku/>
        <w:wordWrap/>
        <w:overflowPunct/>
        <w:topLinePunct w:val="0"/>
        <w:autoSpaceDE/>
        <w:autoSpaceDN/>
        <w:bidi w:val="0"/>
        <w:adjustRightInd w:val="0"/>
        <w:snapToGrid w:val="0"/>
        <w:spacing w:before="0"/>
        <w:ind w:firstLine="640" w:firstLineChars="200"/>
        <w:jc w:val="left"/>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十二、国有资本经营预算财政拨款支出决算表</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36</w:t>
      </w:r>
    </w:p>
    <w:p>
      <w:pPr>
        <w:pStyle w:val="13"/>
        <w:keepNext w:val="0"/>
        <w:keepLines w:val="0"/>
        <w:pageBreakBefore w:val="0"/>
        <w:widowControl w:val="0"/>
        <w:kinsoku/>
        <w:wordWrap/>
        <w:overflowPunct/>
        <w:topLinePunct w:val="0"/>
        <w:autoSpaceDE/>
        <w:autoSpaceDN/>
        <w:bidi w:val="0"/>
        <w:adjustRightInd w:val="0"/>
        <w:snapToGrid w:val="0"/>
        <w:spacing w:before="0"/>
        <w:ind w:firstLine="640" w:firstLineChars="200"/>
        <w:jc w:val="left"/>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十三、财政拨款“三公”经费支出决算表</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36</w:t>
      </w:r>
    </w:p>
    <w:p>
      <w:pPr>
        <w:pStyle w:val="14"/>
        <w:adjustRightInd w:val="0"/>
        <w:snapToGrid w:val="0"/>
        <w:ind w:left="0" w:leftChars="0" w:firstLine="640" w:firstLineChars="200"/>
        <w:jc w:val="left"/>
        <w:rPr>
          <w:rFonts w:eastAsia="仿宋_GB2312"/>
          <w:color w:val="000000" w:themeColor="text1"/>
          <w:sz w:val="32"/>
          <w:szCs w:val="32"/>
          <w14:textFill>
            <w14:solidFill>
              <w14:schemeClr w14:val="tx1"/>
            </w14:solidFill>
          </w14:textFill>
        </w:rPr>
      </w:pPr>
    </w:p>
    <w:p>
      <w:pPr>
        <w:pStyle w:val="5"/>
        <w:spacing w:before="0" w:after="0" w:line="240" w:lineRule="auto"/>
        <w:jc w:val="center"/>
        <w:rPr>
          <w:rFonts w:eastAsia="方正小标宋简体"/>
          <w:b w:val="0"/>
          <w:color w:val="000000" w:themeColor="text1"/>
          <w14:textFill>
            <w14:solidFill>
              <w14:schemeClr w14:val="tx1"/>
            </w14:solidFill>
          </w14:textFill>
        </w:rPr>
      </w:pPr>
      <w:bookmarkStart w:id="12" w:name="_Toc15377196"/>
      <w:bookmarkStart w:id="13" w:name="_Toc15396599"/>
    </w:p>
    <w:p>
      <w:pPr>
        <w:rPr>
          <w:rFonts w:eastAsia="方正小标宋简体"/>
          <w:b w:val="0"/>
          <w:color w:val="000000" w:themeColor="text1"/>
          <w14:textFill>
            <w14:solidFill>
              <w14:schemeClr w14:val="tx1"/>
            </w14:solidFill>
          </w14:textFill>
        </w:rPr>
      </w:pPr>
    </w:p>
    <w:p>
      <w:pPr>
        <w:pStyle w:val="2"/>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3"/>
        <w:rPr>
          <w:rFonts w:eastAsia="方正小标宋简体"/>
          <w:b w:val="0"/>
          <w:color w:val="000000" w:themeColor="text1"/>
          <w14:textFill>
            <w14:solidFill>
              <w14:schemeClr w14:val="tx1"/>
            </w14:solidFill>
          </w14:textFill>
        </w:rPr>
      </w:pPr>
    </w:p>
    <w:p>
      <w:pPr>
        <w:pStyle w:val="5"/>
        <w:spacing w:before="0" w:after="0" w:line="240" w:lineRule="auto"/>
        <w:jc w:val="center"/>
        <w:rPr>
          <w:rStyle w:val="28"/>
          <w:rFonts w:eastAsia="方正小标宋简体"/>
          <w:b/>
          <w:bCs w:val="0"/>
          <w:color w:val="000000" w:themeColor="text1"/>
          <w14:textFill>
            <w14:solidFill>
              <w14:schemeClr w14:val="tx1"/>
            </w14:solidFill>
          </w14:textFill>
        </w:rPr>
      </w:pPr>
      <w:r>
        <w:rPr>
          <w:rFonts w:eastAsia="方正小标宋简体"/>
          <w:b w:val="0"/>
          <w:color w:val="000000" w:themeColor="text1"/>
          <w14:textFill>
            <w14:solidFill>
              <w14:schemeClr w14:val="tx1"/>
            </w14:solidFill>
          </w14:textFill>
        </w:rPr>
        <w:t xml:space="preserve">第一部分  </w:t>
      </w:r>
      <w:r>
        <w:rPr>
          <w:rStyle w:val="28"/>
          <w:rFonts w:eastAsia="方正小标宋简体"/>
          <w:b w:val="0"/>
          <w:bCs w:val="0"/>
          <w:color w:val="000000" w:themeColor="text1"/>
          <w14:textFill>
            <w14:solidFill>
              <w14:schemeClr w14:val="tx1"/>
            </w14:solidFill>
          </w14:textFill>
        </w:rPr>
        <w:t>部门概况</w:t>
      </w:r>
      <w:bookmarkEnd w:id="12"/>
      <w:bookmarkEnd w:id="13"/>
    </w:p>
    <w:p>
      <w:pPr>
        <w:widowControl/>
        <w:jc w:val="left"/>
        <w:rPr>
          <w:rFonts w:eastAsia="黑体"/>
          <w:color w:val="000000" w:themeColor="text1"/>
          <w:sz w:val="32"/>
          <w:szCs w:val="32"/>
          <w14:textFill>
            <w14:solidFill>
              <w14:schemeClr w14:val="tx1"/>
            </w14:solidFill>
          </w14:textFill>
        </w:rPr>
      </w:pPr>
    </w:p>
    <w:p>
      <w:pPr>
        <w:pStyle w:val="6"/>
        <w:numPr>
          <w:ilvl w:val="0"/>
          <w:numId w:val="1"/>
        </w:numPr>
        <w:spacing w:before="0" w:after="0" w:line="240" w:lineRule="auto"/>
        <w:ind w:firstLine="640" w:firstLineChars="200"/>
        <w:rPr>
          <w:rFonts w:ascii="Times New Roman" w:hAnsi="Times New Roman" w:eastAsia="黑体" w:cs="Times New Roman"/>
          <w:b w:val="0"/>
          <w:color w:val="000000" w:themeColor="text1"/>
          <w14:textFill>
            <w14:solidFill>
              <w14:schemeClr w14:val="tx1"/>
            </w14:solidFill>
          </w14:textFill>
        </w:rPr>
      </w:pPr>
      <w:r>
        <w:rPr>
          <w:rFonts w:ascii="Times New Roman" w:hAnsi="Times New Roman" w:eastAsia="黑体" w:cs="Times New Roman"/>
          <w:b w:val="0"/>
          <w:color w:val="000000" w:themeColor="text1"/>
          <w14:textFill>
            <w14:solidFill>
              <w14:schemeClr w14:val="tx1"/>
            </w14:solidFill>
          </w14:textFill>
        </w:rPr>
        <w:t>部门职责</w:t>
      </w:r>
    </w:p>
    <w:p>
      <w:pPr>
        <w:numPr>
          <w:ilvl w:val="255"/>
          <w:numId w:val="0"/>
        </w:numPr>
        <w:ind w:firstLine="640" w:firstLineChars="200"/>
        <w:rPr>
          <w:color w:val="000000" w:themeColor="text1"/>
          <w14:textFill>
            <w14:solidFill>
              <w14:schemeClr w14:val="tx1"/>
            </w14:solidFill>
          </w14:textFill>
        </w:rPr>
      </w:pPr>
      <w:r>
        <w:rPr>
          <w:rFonts w:eastAsia="仿宋_GB2312"/>
          <w:color w:val="000000" w:themeColor="text1"/>
          <w:sz w:val="32"/>
          <w:szCs w:val="32"/>
          <w14:textFill>
            <w14:solidFill>
              <w14:schemeClr w14:val="tx1"/>
            </w14:solidFill>
          </w14:textFill>
        </w:rPr>
        <w:t>攀枝花市发展和改革委员会贯彻执行国家有关国民经济和社会发展、经济体制改革的方针、政策和法律、法规；负责汇总分析全市财政、金融等方面情况，参与拟订财政、金融、土地政策；承担指导推进和综合协调全市经济体制改革的责任，研究经济体制改革和对外开放的重大问题及对策；贯彻执行国家和省价格法律、法规和方针、政策，编制和执行价格调整改革规划，组织实施年度价格总水平调控目标及价格调控措施；负责全市投资宏观管理和协调推进重大项目建设，拟订全社会固定资产投资总规模和投资结构的调控目标等；推进经济结构战略性调整。组织拟订全市综合性产业政策，推进重大科技成果产业化；促进城乡区域协调发展，研究分析区域经济和城镇化发展情况；负责重要商品总量平衡和宏观调控，研究分析市内外市场和对外贸易运行情况；负责全市社会发展与国民经济发展的政策衔接，组织拟订社会发展战略、中长期规划和年度计划，受市政府委托向市人大提交国民经济和社会发展计划报告等；推进可持续发展战略，负责全市节能减排的综合协调工作；研究提出全市能源发展战略和政策措施，拟订全市能源发展规划并提出相关体制改革建议；负责指导和协调全市招标投标工作；负责全市铁路建设项目前期工作，组织协调铁路建设工作中的征地拆迁和重大问题；贯彻执行国家、省以工代赈政策，促进民族地区经济社会持续、稳定、协调发展；承担市资源开发委员会（市实施西部大开发领导小组）的具体工作；承担市政府公布的有关行政审批事项；承办市政府交办的其他事项。</w:t>
      </w:r>
    </w:p>
    <w:p>
      <w:pPr>
        <w:pStyle w:val="6"/>
        <w:spacing w:before="0" w:after="0" w:line="240" w:lineRule="auto"/>
        <w:ind w:firstLine="640" w:firstLineChars="200"/>
        <w:rPr>
          <w:rStyle w:val="29"/>
          <w:rFonts w:ascii="Times New Roman" w:hAnsi="Times New Roman" w:cs="Times New Roman"/>
          <w:b w:val="0"/>
          <w:bCs w:val="0"/>
          <w:color w:val="000000" w:themeColor="text1"/>
          <w14:textFill>
            <w14:solidFill>
              <w14:schemeClr w14:val="tx1"/>
            </w14:solidFill>
          </w14:textFill>
        </w:rPr>
      </w:pPr>
      <w:bookmarkStart w:id="14" w:name="_Toc15396601"/>
      <w:bookmarkStart w:id="15" w:name="_Toc15377200"/>
      <w:r>
        <w:rPr>
          <w:rFonts w:ascii="Times New Roman" w:hAnsi="Times New Roman" w:eastAsia="黑体" w:cs="Times New Roman"/>
          <w:b w:val="0"/>
          <w:color w:val="000000" w:themeColor="text1"/>
          <w14:textFill>
            <w14:solidFill>
              <w14:schemeClr w14:val="tx1"/>
            </w14:solidFill>
          </w14:textFill>
        </w:rPr>
        <w:t>二、机</w:t>
      </w:r>
      <w:r>
        <w:rPr>
          <w:rStyle w:val="29"/>
          <w:rFonts w:ascii="Times New Roman" w:hAnsi="Times New Roman" w:eastAsia="黑体" w:cs="Times New Roman"/>
          <w:b w:val="0"/>
          <w:bCs w:val="0"/>
          <w:color w:val="000000" w:themeColor="text1"/>
          <w14:textFill>
            <w14:solidFill>
              <w14:schemeClr w14:val="tx1"/>
            </w14:solidFill>
          </w14:textFill>
        </w:rPr>
        <w:t>构设置</w:t>
      </w:r>
      <w:bookmarkEnd w:id="14"/>
      <w:bookmarkEnd w:id="15"/>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攀枝花市发展和改革委员会下属二级预算单位4个，其中行政单位0个，参照公务员法管理的事业单位</w:t>
      </w:r>
      <w:r>
        <w:rPr>
          <w:rFonts w:eastAsia="仿宋_GB2312"/>
          <w:bCs/>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个，其他事业单位4个。</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纳入市发展改革委2024年度</w:t>
      </w:r>
      <w:r>
        <w:rPr>
          <w:rFonts w:hint="eastAsia" w:eastAsia="仿宋_GB2312"/>
          <w:color w:val="000000" w:themeColor="text1"/>
          <w:sz w:val="32"/>
          <w:szCs w:val="32"/>
          <w14:textFill>
            <w14:solidFill>
              <w14:schemeClr w14:val="tx1"/>
            </w14:solidFill>
          </w14:textFill>
        </w:rPr>
        <w:t>部门</w:t>
      </w:r>
      <w:r>
        <w:rPr>
          <w:rFonts w:eastAsia="仿宋_GB2312"/>
          <w:color w:val="000000" w:themeColor="text1"/>
          <w:sz w:val="32"/>
          <w:szCs w:val="32"/>
          <w14:textFill>
            <w14:solidFill>
              <w14:schemeClr w14:val="tx1"/>
            </w14:solidFill>
          </w14:textFill>
        </w:rPr>
        <w:t>决算编制范围的非独立核算二级预算单位包括：</w:t>
      </w:r>
    </w:p>
    <w:p>
      <w:pPr>
        <w:numPr>
          <w:ilvl w:val="0"/>
          <w:numId w:val="0"/>
        </w:num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.攀枝花市价格认证中心；</w:t>
      </w:r>
    </w:p>
    <w:p>
      <w:pPr>
        <w:numPr>
          <w:ilvl w:val="0"/>
          <w:numId w:val="0"/>
        </w:numPr>
        <w:ind w:left="640" w:firstLine="0" w:firstLineChars="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.攀枝花市重要和应急物资储备中心；</w:t>
      </w:r>
    </w:p>
    <w:p>
      <w:pPr>
        <w:numPr>
          <w:ilvl w:val="0"/>
          <w:numId w:val="0"/>
        </w:numPr>
        <w:ind w:left="640" w:firstLine="0" w:firstLineChars="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.攀枝花市重大项目储备中心；</w:t>
      </w:r>
    </w:p>
    <w:p>
      <w:pPr>
        <w:numPr>
          <w:ilvl w:val="0"/>
          <w:numId w:val="0"/>
        </w:numPr>
        <w:ind w:left="640" w:firstLine="0" w:firstLineChars="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.攀枝花市大数据中心。</w:t>
      </w:r>
    </w:p>
    <w:p>
      <w:pPr>
        <w:widowControl/>
        <w:jc w:val="left"/>
        <w:rPr>
          <w:rFonts w:eastAsia="仿宋"/>
          <w:color w:val="000000" w:themeColor="text1"/>
          <w:kern w:val="0"/>
          <w:sz w:val="32"/>
          <w:szCs w:val="32"/>
          <w14:textFill>
            <w14:solidFill>
              <w14:schemeClr w14:val="tx1"/>
            </w14:solidFill>
          </w14:textFill>
        </w:rPr>
      </w:pPr>
    </w:p>
    <w:p>
      <w:pPr>
        <w:pStyle w:val="2"/>
        <w:rPr>
          <w:rFonts w:eastAsia="仿宋"/>
          <w:color w:val="000000" w:themeColor="text1"/>
          <w:kern w:val="0"/>
          <w:sz w:val="32"/>
          <w:szCs w:val="32"/>
          <w14:textFill>
            <w14:solidFill>
              <w14:schemeClr w14:val="tx1"/>
            </w14:solidFill>
          </w14:textFill>
        </w:rPr>
      </w:pPr>
    </w:p>
    <w:p>
      <w:pPr>
        <w:pStyle w:val="3"/>
        <w:spacing w:after="0"/>
        <w:ind w:left="420" w:firstLine="640"/>
        <w:rPr>
          <w:rFonts w:ascii="Times New Roman" w:eastAsia="仿宋"/>
          <w:color w:val="000000" w:themeColor="text1"/>
          <w:kern w:val="0"/>
          <w:sz w:val="32"/>
          <w14:textFill>
            <w14:solidFill>
              <w14:schemeClr w14:val="tx1"/>
            </w14:solidFill>
          </w14:textFill>
        </w:rPr>
      </w:pPr>
    </w:p>
    <w:p>
      <w:pPr>
        <w:pStyle w:val="3"/>
        <w:spacing w:after="0"/>
        <w:ind w:left="420" w:firstLine="640"/>
        <w:rPr>
          <w:rFonts w:ascii="Times New Roman" w:eastAsia="仿宋"/>
          <w:color w:val="000000" w:themeColor="text1"/>
          <w:kern w:val="0"/>
          <w:sz w:val="32"/>
          <w14:textFill>
            <w14:solidFill>
              <w14:schemeClr w14:val="tx1"/>
            </w14:solidFill>
          </w14:textFill>
        </w:rPr>
      </w:pPr>
    </w:p>
    <w:p>
      <w:pPr>
        <w:pStyle w:val="5"/>
        <w:spacing w:before="0" w:after="0" w:line="240" w:lineRule="auto"/>
        <w:jc w:val="center"/>
        <w:rPr>
          <w:rFonts w:eastAsia="方正小标宋简体"/>
          <w:b w:val="0"/>
          <w:color w:val="000000" w:themeColor="text1"/>
          <w14:textFill>
            <w14:solidFill>
              <w14:schemeClr w14:val="tx1"/>
            </w14:solidFill>
          </w14:textFill>
        </w:rPr>
      </w:pPr>
      <w:bookmarkStart w:id="16" w:name="_Toc15396602"/>
      <w:bookmarkStart w:id="17" w:name="_Toc15377204"/>
      <w:r>
        <w:rPr>
          <w:rFonts w:eastAsia="方正小标宋简体"/>
          <w:b w:val="0"/>
          <w:color w:val="000000" w:themeColor="text1"/>
          <w14:textFill>
            <w14:solidFill>
              <w14:schemeClr w14:val="tx1"/>
            </w14:solidFill>
          </w14:textFill>
        </w:rPr>
        <w:t>第二部分  2024年度部门决算情况说明</w:t>
      </w:r>
      <w:bookmarkEnd w:id="16"/>
      <w:bookmarkEnd w:id="17"/>
    </w:p>
    <w:p>
      <w:pPr>
        <w:rPr>
          <w:color w:val="000000" w:themeColor="text1"/>
          <w14:textFill>
            <w14:solidFill>
              <w14:schemeClr w14:val="tx1"/>
            </w14:solidFill>
          </w14:textFill>
        </w:rPr>
      </w:pPr>
    </w:p>
    <w:p>
      <w:pPr>
        <w:pStyle w:val="27"/>
        <w:ind w:firstLine="640"/>
        <w:outlineLvl w:val="1"/>
        <w:rPr>
          <w:rStyle w:val="29"/>
          <w:rFonts w:ascii="Times New Roman" w:hAnsi="Times New Roman" w:eastAsia="黑体" w:cs="Times New Roman"/>
          <w:b w:val="0"/>
          <w:color w:val="000000" w:themeColor="text1"/>
          <w14:textFill>
            <w14:solidFill>
              <w14:schemeClr w14:val="tx1"/>
            </w14:solidFill>
          </w14:textFill>
        </w:rPr>
      </w:pPr>
      <w:bookmarkStart w:id="18" w:name="_Toc15396603"/>
      <w:bookmarkStart w:id="19" w:name="_Toc15377205"/>
      <w:r>
        <w:rPr>
          <w:rFonts w:eastAsia="黑体"/>
          <w:color w:val="000000" w:themeColor="text1"/>
          <w:sz w:val="32"/>
          <w:szCs w:val="32"/>
          <w14:textFill>
            <w14:solidFill>
              <w14:schemeClr w14:val="tx1"/>
            </w14:solidFill>
          </w14:textFill>
        </w:rPr>
        <w:t>一、收</w:t>
      </w:r>
      <w:r>
        <w:rPr>
          <w:rStyle w:val="29"/>
          <w:rFonts w:ascii="Times New Roman" w:hAnsi="Times New Roman" w:eastAsia="黑体" w:cs="Times New Roman"/>
          <w:b w:val="0"/>
          <w:color w:val="000000" w:themeColor="text1"/>
          <w14:textFill>
            <w14:solidFill>
              <w14:schemeClr w14:val="tx1"/>
            </w14:solidFill>
          </w14:textFill>
        </w:rPr>
        <w:t>入支出决算总体情况说明</w:t>
      </w:r>
      <w:bookmarkEnd w:id="18"/>
      <w:bookmarkEnd w:id="19"/>
    </w:p>
    <w:p>
      <w:pPr>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2024年度收入7,582.75万元，与2023年度收入4,375.28万元相比，增加3207.47万元，增长73.31%；</w:t>
      </w:r>
    </w:p>
    <w:p>
      <w:pPr>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2024年度支出总计为7,582.75万元，与2023年度支出4,375.28万元相比，增加3207.47万元，增长73.31%。主要变动原因是2024年其他收入-成昆铁路扩能改造峨米段征地拆迁经费增加，导致部门收入较上年增长；因支付成昆铁路扩能改造峨米段征地拆迁经费，导致部门支出较上年增加。</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图1：收入、支出决算总计变动情况图</w:t>
      </w:r>
    </w:p>
    <w:p>
      <w:pPr>
        <w:ind w:firstLine="640" w:firstLineChars="200"/>
        <w:rPr>
          <w:rFonts w:eastAsia="仿宋_GB2312" w:cs="仿宋_GB2312"/>
          <w:color w:val="000000" w:themeColor="text1"/>
          <w:sz w:val="32"/>
          <w:szCs w:val="32"/>
          <w14:textFill>
            <w14:solidFill>
              <w14:schemeClr w14:val="tx1"/>
            </w14:solidFill>
          </w14:textFill>
        </w:rPr>
      </w:pPr>
    </w:p>
    <w:p>
      <w:pPr>
        <w:ind w:firstLine="420" w:firstLineChars="200"/>
        <w:rPr>
          <w:rFonts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drawing>
          <wp:inline distT="0" distB="0" distL="114300" distR="114300">
            <wp:extent cx="4578985" cy="2758440"/>
            <wp:effectExtent l="0" t="0" r="12065" b="3810"/>
            <wp:docPr id="4" name="图片 1" descr="D:\桌面\微信图片_20250917100559_9_54.png微信图片_20250917100559_9_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桌面\微信图片_20250917100559_9_54.png微信图片_20250917100559_9_54"/>
                    <pic:cNvPicPr>
                      <a:picLocks noChangeAspect="1"/>
                    </pic:cNvPicPr>
                  </pic:nvPicPr>
                  <pic:blipFill>
                    <a:blip r:embed="rId9"/>
                    <a:srcRect/>
                    <a:stretch>
                      <a:fillRect/>
                    </a:stretch>
                  </pic:blipFill>
                  <pic:spPr>
                    <a:xfrm>
                      <a:off x="0" y="0"/>
                      <a:ext cx="4578985" cy="2758440"/>
                    </a:xfrm>
                    <a:prstGeom prst="rect">
                      <a:avLst/>
                    </a:prstGeom>
                    <a:noFill/>
                    <a:ln>
                      <a:noFill/>
                    </a:ln>
                  </pic:spPr>
                </pic:pic>
              </a:graphicData>
            </a:graphic>
          </wp:inline>
        </w:drawing>
      </w:r>
    </w:p>
    <w:p>
      <w:pPr>
        <w:ind w:firstLine="640" w:firstLineChars="200"/>
        <w:rPr>
          <w:rFonts w:eastAsia="仿宋_GB2312" w:cs="仿宋_GB2312"/>
          <w:color w:val="000000" w:themeColor="text1"/>
          <w:sz w:val="32"/>
          <w:szCs w:val="32"/>
          <w14:textFill>
            <w14:solidFill>
              <w14:schemeClr w14:val="tx1"/>
            </w14:solidFill>
          </w14:textFill>
        </w:rPr>
      </w:pPr>
    </w:p>
    <w:p>
      <w:pPr>
        <w:pStyle w:val="27"/>
        <w:ind w:firstLine="640"/>
        <w:outlineLvl w:val="1"/>
        <w:rPr>
          <w:rFonts w:eastAsia="黑体"/>
          <w:color w:val="000000" w:themeColor="text1"/>
          <w:sz w:val="32"/>
          <w:szCs w:val="32"/>
          <w14:textFill>
            <w14:solidFill>
              <w14:schemeClr w14:val="tx1"/>
            </w14:solidFill>
          </w14:textFill>
        </w:rPr>
      </w:pPr>
      <w:bookmarkStart w:id="20" w:name="_Toc15396604"/>
      <w:bookmarkStart w:id="21" w:name="_Toc15377206"/>
      <w:r>
        <w:rPr>
          <w:rFonts w:eastAsia="黑体"/>
          <w:color w:val="000000" w:themeColor="text1"/>
          <w:sz w:val="32"/>
          <w:szCs w:val="32"/>
          <w14:textFill>
            <w14:solidFill>
              <w14:schemeClr w14:val="tx1"/>
            </w14:solidFill>
          </w14:textFill>
        </w:rPr>
        <w:t>二、收入决算情况说明</w:t>
      </w:r>
      <w:bookmarkEnd w:id="20"/>
      <w:bookmarkEnd w:id="21"/>
    </w:p>
    <w:p>
      <w:pPr>
        <w:pStyle w:val="27"/>
        <w:ind w:firstLine="640"/>
        <w:outlineLvl w:val="1"/>
        <w:rPr>
          <w:rFonts w:eastAsia="仿宋_GB2312"/>
          <w:b/>
          <w:bCs/>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2024年度本年收入合计7,189.91万元，其中：一般公共预算财政拨款收入3,132.2万元，占43.56%；政府性基金预算财政拨款收入40.45万元，占0.56%；国有资本经营预算财政拨款收入0万元</w:t>
      </w:r>
      <w:r>
        <w:rPr>
          <w:rFonts w:hint="eastAsia" w:eastAsia="仿宋_GB2312"/>
          <w:color w:val="000000" w:themeColor="text1"/>
          <w:sz w:val="32"/>
          <w:szCs w:val="32"/>
          <w14:textFill>
            <w14:solidFill>
              <w14:schemeClr w14:val="tx1"/>
            </w14:solidFill>
          </w14:textFill>
        </w:rPr>
        <w:t>，占0%</w:t>
      </w:r>
      <w:r>
        <w:rPr>
          <w:rFonts w:eastAsia="仿宋_GB2312"/>
          <w:color w:val="000000" w:themeColor="text1"/>
          <w:sz w:val="32"/>
          <w:szCs w:val="32"/>
          <w14:textFill>
            <w14:solidFill>
              <w14:schemeClr w14:val="tx1"/>
            </w14:solidFill>
          </w14:textFill>
        </w:rPr>
        <w:t>；上级补助收入0万元</w:t>
      </w:r>
      <w:r>
        <w:rPr>
          <w:rFonts w:hint="eastAsia" w:eastAsia="仿宋_GB2312"/>
          <w:color w:val="000000" w:themeColor="text1"/>
          <w:sz w:val="32"/>
          <w:szCs w:val="32"/>
          <w14:textFill>
            <w14:solidFill>
              <w14:schemeClr w14:val="tx1"/>
            </w14:solidFill>
          </w14:textFill>
        </w:rPr>
        <w:t>，占0%</w:t>
      </w:r>
      <w:r>
        <w:rPr>
          <w:rFonts w:eastAsia="仿宋_GB2312"/>
          <w:color w:val="000000" w:themeColor="text1"/>
          <w:sz w:val="32"/>
          <w:szCs w:val="32"/>
          <w14:textFill>
            <w14:solidFill>
              <w14:schemeClr w14:val="tx1"/>
            </w14:solidFill>
          </w14:textFill>
        </w:rPr>
        <w:t>；事业收入0万元</w:t>
      </w:r>
      <w:r>
        <w:rPr>
          <w:rFonts w:hint="eastAsia" w:eastAsia="仿宋_GB2312"/>
          <w:color w:val="000000" w:themeColor="text1"/>
          <w:sz w:val="32"/>
          <w:szCs w:val="32"/>
          <w14:textFill>
            <w14:solidFill>
              <w14:schemeClr w14:val="tx1"/>
            </w14:solidFill>
          </w14:textFill>
        </w:rPr>
        <w:t>，占0%</w:t>
      </w:r>
      <w:r>
        <w:rPr>
          <w:rFonts w:eastAsia="仿宋_GB2312"/>
          <w:color w:val="000000" w:themeColor="text1"/>
          <w:sz w:val="32"/>
          <w:szCs w:val="32"/>
          <w14:textFill>
            <w14:solidFill>
              <w14:schemeClr w14:val="tx1"/>
            </w14:solidFill>
          </w14:textFill>
        </w:rPr>
        <w:t>；经营收入0万元</w:t>
      </w:r>
      <w:r>
        <w:rPr>
          <w:rFonts w:hint="eastAsia" w:eastAsia="仿宋_GB2312"/>
          <w:color w:val="000000" w:themeColor="text1"/>
          <w:sz w:val="32"/>
          <w:szCs w:val="32"/>
          <w14:textFill>
            <w14:solidFill>
              <w14:schemeClr w14:val="tx1"/>
            </w14:solidFill>
          </w14:textFill>
        </w:rPr>
        <w:t>，占0%</w:t>
      </w:r>
      <w:r>
        <w:rPr>
          <w:rFonts w:eastAsia="仿宋_GB2312"/>
          <w:color w:val="000000" w:themeColor="text1"/>
          <w:sz w:val="32"/>
          <w:szCs w:val="32"/>
          <w14:textFill>
            <w14:solidFill>
              <w14:schemeClr w14:val="tx1"/>
            </w14:solidFill>
          </w14:textFill>
        </w:rPr>
        <w:t>；附属单位上缴收入0万元</w:t>
      </w:r>
      <w:r>
        <w:rPr>
          <w:rFonts w:hint="eastAsia" w:eastAsia="仿宋_GB2312"/>
          <w:color w:val="000000" w:themeColor="text1"/>
          <w:sz w:val="32"/>
          <w:szCs w:val="32"/>
          <w14:textFill>
            <w14:solidFill>
              <w14:schemeClr w14:val="tx1"/>
            </w14:solidFill>
          </w14:textFill>
        </w:rPr>
        <w:t>，占0%</w:t>
      </w:r>
      <w:r>
        <w:rPr>
          <w:rFonts w:eastAsia="仿宋_GB2312"/>
          <w:color w:val="000000" w:themeColor="text1"/>
          <w:sz w:val="32"/>
          <w:szCs w:val="32"/>
          <w14:textFill>
            <w14:solidFill>
              <w14:schemeClr w14:val="tx1"/>
            </w14:solidFill>
          </w14:textFill>
        </w:rPr>
        <w:t>；其他收入4,017.26万元，占55.88%。</w:t>
      </w:r>
    </w:p>
    <w:p>
      <w:pPr>
        <w:ind w:firstLine="800" w:firstLineChars="250"/>
        <w:rPr>
          <w:rFonts w:eastAsia="仿宋_GB2312" w:cs="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图2:2024年收入决算结构图</w:t>
      </w:r>
    </w:p>
    <w:p>
      <w:pPr>
        <w:ind w:firstLine="525" w:firstLineChars="250"/>
        <w:rPr>
          <w:rFonts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drawing>
          <wp:inline distT="0" distB="0" distL="114300" distR="114300">
            <wp:extent cx="4608830" cy="2759710"/>
            <wp:effectExtent l="0" t="0" r="1270" b="2540"/>
            <wp:docPr id="5" name="图片 2" descr="D:\桌面\微信图片_20250916193628_33_5.png微信图片_20250916193628_3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桌面\微信图片_20250916193628_33_5.png微信图片_20250916193628_33_5"/>
                    <pic:cNvPicPr>
                      <a:picLocks noChangeAspect="1"/>
                    </pic:cNvPicPr>
                  </pic:nvPicPr>
                  <pic:blipFill>
                    <a:blip r:embed="rId10"/>
                    <a:srcRect/>
                    <a:stretch>
                      <a:fillRect/>
                    </a:stretch>
                  </pic:blipFill>
                  <pic:spPr>
                    <a:xfrm>
                      <a:off x="0" y="0"/>
                      <a:ext cx="4608830" cy="2759710"/>
                    </a:xfrm>
                    <a:prstGeom prst="rect">
                      <a:avLst/>
                    </a:prstGeom>
                    <a:noFill/>
                    <a:ln>
                      <a:noFill/>
                    </a:ln>
                  </pic:spPr>
                </pic:pic>
              </a:graphicData>
            </a:graphic>
          </wp:inline>
        </w:drawing>
      </w:r>
    </w:p>
    <w:p>
      <w:pPr>
        <w:pStyle w:val="27"/>
        <w:ind w:firstLine="640"/>
        <w:outlineLvl w:val="1"/>
        <w:rPr>
          <w:rStyle w:val="29"/>
          <w:rFonts w:ascii="Times New Roman" w:hAnsi="Times New Roman" w:eastAsia="黑体" w:cs="Times New Roman"/>
          <w:b w:val="0"/>
          <w:color w:val="000000" w:themeColor="text1"/>
          <w14:textFill>
            <w14:solidFill>
              <w14:schemeClr w14:val="tx1"/>
            </w14:solidFill>
          </w14:textFill>
        </w:rPr>
      </w:pPr>
      <w:bookmarkStart w:id="22" w:name="_Toc15396605"/>
      <w:bookmarkStart w:id="23" w:name="_Toc15377207"/>
      <w:r>
        <w:rPr>
          <w:rFonts w:eastAsia="黑体"/>
          <w:color w:val="000000" w:themeColor="text1"/>
          <w:sz w:val="32"/>
          <w:szCs w:val="32"/>
          <w14:textFill>
            <w14:solidFill>
              <w14:schemeClr w14:val="tx1"/>
            </w14:solidFill>
          </w14:textFill>
        </w:rPr>
        <w:t>三、支</w:t>
      </w:r>
      <w:r>
        <w:rPr>
          <w:rStyle w:val="29"/>
          <w:rFonts w:ascii="Times New Roman" w:hAnsi="Times New Roman" w:eastAsia="黑体" w:cs="Times New Roman"/>
          <w:b w:val="0"/>
          <w:color w:val="000000" w:themeColor="text1"/>
          <w14:textFill>
            <w14:solidFill>
              <w14:schemeClr w14:val="tx1"/>
            </w14:solidFill>
          </w14:textFill>
        </w:rPr>
        <w:t>出决算情况说明</w:t>
      </w:r>
      <w:bookmarkEnd w:id="22"/>
      <w:bookmarkEnd w:id="23"/>
    </w:p>
    <w:p>
      <w:pPr>
        <w:pStyle w:val="27"/>
        <w:ind w:firstLine="640"/>
        <w:jc w:val="left"/>
        <w:outlineLvl w:val="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2024年度本年支出合计7,239.83万元，其中：基本支出2,573.12万元，占35.54%；项目支出4,666.71万元，占64.46%；上缴上级支出0万元</w:t>
      </w:r>
      <w:r>
        <w:rPr>
          <w:rFonts w:hint="eastAsia" w:eastAsia="仿宋_GB2312"/>
          <w:color w:val="000000" w:themeColor="text1"/>
          <w:sz w:val="32"/>
          <w:szCs w:val="32"/>
          <w14:textFill>
            <w14:solidFill>
              <w14:schemeClr w14:val="tx1"/>
            </w14:solidFill>
          </w14:textFill>
        </w:rPr>
        <w:t>，占0%；</w:t>
      </w:r>
      <w:r>
        <w:rPr>
          <w:rFonts w:eastAsia="仿宋_GB2312"/>
          <w:color w:val="000000" w:themeColor="text1"/>
          <w:sz w:val="32"/>
          <w:szCs w:val="32"/>
          <w14:textFill>
            <w14:solidFill>
              <w14:schemeClr w14:val="tx1"/>
            </w14:solidFill>
          </w14:textFill>
        </w:rPr>
        <w:t>经营支出0万元</w:t>
      </w:r>
      <w:r>
        <w:rPr>
          <w:rFonts w:hint="eastAsia" w:eastAsia="仿宋_GB2312"/>
          <w:color w:val="000000" w:themeColor="text1"/>
          <w:sz w:val="32"/>
          <w:szCs w:val="32"/>
          <w14:textFill>
            <w14:solidFill>
              <w14:schemeClr w14:val="tx1"/>
            </w14:solidFill>
          </w14:textFill>
        </w:rPr>
        <w:t>，占0%；</w:t>
      </w:r>
      <w:r>
        <w:rPr>
          <w:rFonts w:eastAsia="仿宋_GB2312"/>
          <w:color w:val="000000" w:themeColor="text1"/>
          <w:sz w:val="32"/>
          <w:szCs w:val="32"/>
          <w14:textFill>
            <w14:solidFill>
              <w14:schemeClr w14:val="tx1"/>
            </w14:solidFill>
          </w14:textFill>
        </w:rPr>
        <w:t>对附属单位补助支出0万元</w:t>
      </w:r>
      <w:r>
        <w:rPr>
          <w:rFonts w:hint="eastAsia" w:eastAsia="仿宋_GB2312"/>
          <w:color w:val="000000" w:themeColor="text1"/>
          <w:sz w:val="32"/>
          <w:szCs w:val="32"/>
          <w14:textFill>
            <w14:solidFill>
              <w14:schemeClr w14:val="tx1"/>
            </w14:solidFill>
          </w14:textFill>
        </w:rPr>
        <w:t>，占0%</w:t>
      </w:r>
      <w:r>
        <w:rPr>
          <w:rFonts w:eastAsia="仿宋_GB2312"/>
          <w:color w:val="000000" w:themeColor="text1"/>
          <w:sz w:val="32"/>
          <w:szCs w:val="32"/>
          <w14:textFill>
            <w14:solidFill>
              <w14:schemeClr w14:val="tx1"/>
            </w14:solidFill>
          </w14:textFill>
        </w:rPr>
        <w:t>。</w:t>
      </w:r>
    </w:p>
    <w:p>
      <w:pPr>
        <w:ind w:firstLine="800" w:firstLineChars="250"/>
        <w:rPr>
          <w:rFonts w:eastAsia="仿宋_GB2312"/>
          <w:color w:val="000000" w:themeColor="text1"/>
          <w:sz w:val="32"/>
          <w:szCs w:val="32"/>
          <w14:textFill>
            <w14:solidFill>
              <w14:schemeClr w14:val="tx1"/>
            </w14:solidFill>
          </w14:textFill>
        </w:rPr>
      </w:pPr>
    </w:p>
    <w:p>
      <w:pPr>
        <w:ind w:firstLine="800" w:firstLineChars="25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图3：支出决算结构图</w:t>
      </w:r>
    </w:p>
    <w:p>
      <w:pPr>
        <w:ind w:firstLine="525" w:firstLineChars="250"/>
        <w:rPr>
          <w:rFonts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w:drawing>
          <wp:inline distT="0" distB="0" distL="114300" distR="114300">
            <wp:extent cx="4587240" cy="2724785"/>
            <wp:effectExtent l="0" t="0" r="3810" b="18415"/>
            <wp:docPr id="6" name="图片 3" descr="D:\桌面\微信图片_20250916193709_34_5.png微信图片_20250916193709_34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D:\桌面\微信图片_20250916193709_34_5.png微信图片_20250916193709_34_5"/>
                    <pic:cNvPicPr>
                      <a:picLocks noChangeAspect="1"/>
                    </pic:cNvPicPr>
                  </pic:nvPicPr>
                  <pic:blipFill>
                    <a:blip r:embed="rId11"/>
                    <a:srcRect/>
                    <a:stretch>
                      <a:fillRect/>
                    </a:stretch>
                  </pic:blipFill>
                  <pic:spPr>
                    <a:xfrm>
                      <a:off x="0" y="0"/>
                      <a:ext cx="4587240" cy="2724785"/>
                    </a:xfrm>
                    <a:prstGeom prst="rect">
                      <a:avLst/>
                    </a:prstGeom>
                    <a:noFill/>
                    <a:ln>
                      <a:noFill/>
                    </a:ln>
                  </pic:spPr>
                </pic:pic>
              </a:graphicData>
            </a:graphic>
          </wp:inline>
        </w:drawing>
      </w:r>
    </w:p>
    <w:p>
      <w:pPr>
        <w:ind w:firstLine="640" w:firstLineChars="200"/>
        <w:outlineLvl w:val="1"/>
        <w:rPr>
          <w:rStyle w:val="29"/>
          <w:rFonts w:ascii="Times New Roman" w:hAnsi="Times New Roman" w:eastAsia="黑体" w:cs="Times New Roman"/>
          <w:b w:val="0"/>
          <w:color w:val="000000" w:themeColor="text1"/>
          <w14:textFill>
            <w14:solidFill>
              <w14:schemeClr w14:val="tx1"/>
            </w14:solidFill>
          </w14:textFill>
        </w:rPr>
      </w:pPr>
      <w:bookmarkStart w:id="24" w:name="_Toc15377208"/>
      <w:bookmarkStart w:id="25" w:name="_Toc15396606"/>
      <w:r>
        <w:rPr>
          <w:rFonts w:eastAsia="黑体"/>
          <w:color w:val="000000" w:themeColor="text1"/>
          <w:sz w:val="32"/>
          <w:szCs w:val="32"/>
          <w14:textFill>
            <w14:solidFill>
              <w14:schemeClr w14:val="tx1"/>
            </w14:solidFill>
          </w14:textFill>
        </w:rPr>
        <w:t>四、财</w:t>
      </w:r>
      <w:r>
        <w:rPr>
          <w:rStyle w:val="29"/>
          <w:rFonts w:ascii="Times New Roman" w:hAnsi="Times New Roman" w:eastAsia="黑体" w:cs="Times New Roman"/>
          <w:b w:val="0"/>
          <w:color w:val="000000" w:themeColor="text1"/>
          <w14:textFill>
            <w14:solidFill>
              <w14:schemeClr w14:val="tx1"/>
            </w14:solidFill>
          </w14:textFill>
        </w:rPr>
        <w:t>政拨款收入支出决算总体情况说明</w:t>
      </w:r>
      <w:bookmarkEnd w:id="24"/>
      <w:bookmarkEnd w:id="25"/>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2024年度财政拨款收入、支出总计均为3,172.65万元。与2023年度3,175.78</w:t>
      </w:r>
      <w:r>
        <w:rPr>
          <w:rFonts w:eastAsia="仿宋"/>
          <w:color w:val="000000" w:themeColor="text1"/>
          <w:sz w:val="32"/>
          <w:szCs w:val="32"/>
          <w14:textFill>
            <w14:solidFill>
              <w14:schemeClr w14:val="tx1"/>
            </w14:solidFill>
          </w14:textFill>
        </w:rPr>
        <w:t>万元</w:t>
      </w:r>
      <w:r>
        <w:rPr>
          <w:rFonts w:eastAsia="仿宋_GB2312"/>
          <w:color w:val="000000" w:themeColor="text1"/>
          <w:sz w:val="32"/>
          <w:szCs w:val="32"/>
          <w14:textFill>
            <w14:solidFill>
              <w14:schemeClr w14:val="tx1"/>
            </w14:solidFill>
          </w14:textFill>
        </w:rPr>
        <w:t>相比，财政拨款收入总计、支出总计各减少3.13万元，下降0.099%。主要变动原因是财政拨款减少。</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图4：财政拨款收、支决算总计变动情况</w:t>
      </w:r>
    </w:p>
    <w:p>
      <w:pPr>
        <w:ind w:firstLine="640"/>
        <w:rPr>
          <w:rFonts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1" locked="0" layoutInCell="1" allowOverlap="1">
            <wp:simplePos x="0" y="0"/>
            <wp:positionH relativeFrom="column">
              <wp:posOffset>596900</wp:posOffset>
            </wp:positionH>
            <wp:positionV relativeFrom="paragraph">
              <wp:posOffset>41910</wp:posOffset>
            </wp:positionV>
            <wp:extent cx="4582160" cy="2761615"/>
            <wp:effectExtent l="0" t="0" r="8890" b="635"/>
            <wp:wrapNone/>
            <wp:docPr id="3" name="图片 3" descr="D:\桌面\微信图片_20250916193739_35_5.png微信图片_20250916193739_3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桌面\微信图片_20250916193739_35_5.png微信图片_20250916193739_35_5"/>
                    <pic:cNvPicPr>
                      <a:picLocks noChangeAspect="1"/>
                    </pic:cNvPicPr>
                  </pic:nvPicPr>
                  <pic:blipFill>
                    <a:blip r:embed="rId12"/>
                    <a:srcRect/>
                    <a:stretch>
                      <a:fillRect/>
                    </a:stretch>
                  </pic:blipFill>
                  <pic:spPr>
                    <a:xfrm>
                      <a:off x="0" y="0"/>
                      <a:ext cx="4582160" cy="2761615"/>
                    </a:xfrm>
                    <a:prstGeom prst="rect">
                      <a:avLst/>
                    </a:prstGeom>
                    <a:noFill/>
                    <a:ln>
                      <a:noFill/>
                    </a:ln>
                  </pic:spPr>
                </pic:pic>
              </a:graphicData>
            </a:graphic>
          </wp:anchor>
        </w:drawing>
      </w:r>
    </w:p>
    <w:p>
      <w:pPr>
        <w:ind w:firstLine="640"/>
        <w:rPr>
          <w:rFonts w:eastAsia="仿宋_GB2312"/>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p>
    <w:p>
      <w:pPr>
        <w:pStyle w:val="3"/>
        <w:spacing w:after="0"/>
        <w:ind w:left="0" w:leftChars="0" w:firstLine="0" w:firstLineChars="0"/>
        <w:rPr>
          <w:rFonts w:ascii="Times New Roman"/>
          <w:color w:val="000000" w:themeColor="text1"/>
          <w14:textFill>
            <w14:solidFill>
              <w14:schemeClr w14:val="tx1"/>
            </w14:solidFill>
          </w14:textFill>
        </w:rPr>
      </w:pPr>
    </w:p>
    <w:p>
      <w:pPr>
        <w:ind w:firstLine="640" w:firstLineChars="200"/>
        <w:outlineLvl w:val="1"/>
        <w:rPr>
          <w:rFonts w:eastAsia="黑体"/>
          <w:color w:val="000000" w:themeColor="text1"/>
          <w:sz w:val="32"/>
          <w:szCs w:val="32"/>
          <w14:textFill>
            <w14:solidFill>
              <w14:schemeClr w14:val="tx1"/>
            </w14:solidFill>
          </w14:textFill>
        </w:rPr>
      </w:pPr>
      <w:bookmarkStart w:id="26" w:name="_Toc15396607"/>
      <w:bookmarkStart w:id="27" w:name="_Toc15377209"/>
    </w:p>
    <w:p>
      <w:pPr>
        <w:ind w:firstLine="640" w:firstLineChars="200"/>
        <w:outlineLvl w:val="1"/>
        <w:rPr>
          <w:rStyle w:val="29"/>
          <w:rFonts w:ascii="Times New Roman" w:hAnsi="Times New Roman" w:eastAsia="黑体" w:cs="Times New Roman"/>
          <w:b w:val="0"/>
          <w:color w:val="000000" w:themeColor="text1"/>
          <w14:textFill>
            <w14:solidFill>
              <w14:schemeClr w14:val="tx1"/>
            </w14:solidFill>
          </w14:textFill>
        </w:rPr>
      </w:pPr>
      <w:r>
        <w:rPr>
          <w:rFonts w:eastAsia="黑体"/>
          <w:color w:val="000000" w:themeColor="text1"/>
          <w:sz w:val="32"/>
          <w:szCs w:val="32"/>
          <w14:textFill>
            <w14:solidFill>
              <w14:schemeClr w14:val="tx1"/>
            </w14:solidFill>
          </w14:textFill>
        </w:rPr>
        <w:t>五、</w:t>
      </w:r>
      <w:r>
        <w:rPr>
          <w:rFonts w:eastAsia="黑体"/>
          <w:b/>
          <w:color w:val="000000" w:themeColor="text1"/>
          <w:sz w:val="32"/>
          <w:szCs w:val="32"/>
          <w14:textFill>
            <w14:solidFill>
              <w14:schemeClr w14:val="tx1"/>
            </w14:solidFill>
          </w14:textFill>
        </w:rPr>
        <w:t>一</w:t>
      </w:r>
      <w:r>
        <w:rPr>
          <w:rStyle w:val="29"/>
          <w:rFonts w:ascii="Times New Roman" w:hAnsi="Times New Roman" w:eastAsia="黑体" w:cs="Times New Roman"/>
          <w:b w:val="0"/>
          <w:color w:val="000000" w:themeColor="text1"/>
          <w14:textFill>
            <w14:solidFill>
              <w14:schemeClr w14:val="tx1"/>
            </w14:solidFill>
          </w14:textFill>
        </w:rPr>
        <w:t>般公共预算财政拨款支出决算情况说明</w:t>
      </w:r>
      <w:bookmarkEnd w:id="26"/>
      <w:bookmarkEnd w:id="27"/>
    </w:p>
    <w:p>
      <w:pPr>
        <w:ind w:firstLine="643" w:firstLineChars="200"/>
        <w:outlineLvl w:val="2"/>
        <w:rPr>
          <w:rFonts w:eastAsia="楷体_GB2312"/>
          <w:b/>
          <w:color w:val="000000" w:themeColor="text1"/>
          <w:sz w:val="32"/>
          <w:szCs w:val="32"/>
          <w14:textFill>
            <w14:solidFill>
              <w14:schemeClr w14:val="tx1"/>
            </w14:solidFill>
          </w14:textFill>
        </w:rPr>
      </w:pPr>
      <w:bookmarkStart w:id="28" w:name="_Toc15377210"/>
      <w:r>
        <w:rPr>
          <w:rFonts w:eastAsia="楷体_GB2312"/>
          <w:b/>
          <w:color w:val="000000" w:themeColor="text1"/>
          <w:sz w:val="32"/>
          <w:szCs w:val="32"/>
          <w14:textFill>
            <w14:solidFill>
              <w14:schemeClr w14:val="tx1"/>
            </w14:solidFill>
          </w14:textFill>
        </w:rPr>
        <w:t>（一）一般公共预算财政拨款支出决算总体情况</w:t>
      </w:r>
      <w:bookmarkEnd w:id="28"/>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2024年度一般公共预算财政拨款支出3,132.2万元，占本年支出合计的43.26%。与2023年度</w:t>
      </w:r>
      <w:r>
        <w:rPr>
          <w:rFonts w:eastAsia="仿宋"/>
          <w:color w:val="000000" w:themeColor="text1"/>
          <w:sz w:val="32"/>
          <w:szCs w:val="32"/>
          <w14:textFill>
            <w14:solidFill>
              <w14:schemeClr w14:val="tx1"/>
            </w14:solidFill>
          </w14:textFill>
        </w:rPr>
        <w:t>2,857.1万元</w:t>
      </w:r>
      <w:r>
        <w:rPr>
          <w:rFonts w:eastAsia="仿宋_GB2312"/>
          <w:color w:val="000000" w:themeColor="text1"/>
          <w:sz w:val="32"/>
          <w:szCs w:val="32"/>
          <w14:textFill>
            <w14:solidFill>
              <w14:schemeClr w14:val="tx1"/>
            </w14:solidFill>
          </w14:textFill>
        </w:rPr>
        <w:t>相比，一般公共预算财政拨款支出增加275.1万元，增长9.63%。主要变动原因是基本支出较上年增加32.24万元，项目支出较上年增加242.86万元。</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图5：一般公共预算财政拨款支出决算变动情况</w:t>
      </w:r>
    </w:p>
    <w:p>
      <w:pPr>
        <w:ind w:firstLine="640"/>
        <w:rPr>
          <w:rFonts w:eastAsia="仿宋_GB2312"/>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1312" behindDoc="1" locked="0" layoutInCell="1" allowOverlap="1">
            <wp:simplePos x="0" y="0"/>
            <wp:positionH relativeFrom="column">
              <wp:posOffset>416560</wp:posOffset>
            </wp:positionH>
            <wp:positionV relativeFrom="paragraph">
              <wp:posOffset>-1123950</wp:posOffset>
            </wp:positionV>
            <wp:extent cx="4570730" cy="2761615"/>
            <wp:effectExtent l="0" t="0" r="1270" b="635"/>
            <wp:wrapNone/>
            <wp:docPr id="8" name="图片 5" descr="D:\桌面\微信图片_20250916193818_36_5.png微信图片_20250916193818_36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D:\桌面\微信图片_20250916193818_36_5.png微信图片_20250916193818_36_5"/>
                    <pic:cNvPicPr>
                      <a:picLocks noChangeAspect="1"/>
                    </pic:cNvPicPr>
                  </pic:nvPicPr>
                  <pic:blipFill>
                    <a:blip r:embed="rId13"/>
                    <a:srcRect/>
                    <a:stretch>
                      <a:fillRect/>
                    </a:stretch>
                  </pic:blipFill>
                  <pic:spPr>
                    <a:xfrm>
                      <a:off x="0" y="0"/>
                      <a:ext cx="4570730" cy="2761615"/>
                    </a:xfrm>
                    <a:prstGeom prst="rect">
                      <a:avLst/>
                    </a:prstGeom>
                    <a:noFill/>
                    <a:ln>
                      <a:noFill/>
                    </a:ln>
                  </pic:spPr>
                </pic:pic>
              </a:graphicData>
            </a:graphic>
          </wp:anchor>
        </w:drawing>
      </w:r>
    </w:p>
    <w:p>
      <w:pPr>
        <w:ind w:firstLine="640"/>
        <w:rPr>
          <w:rFonts w:eastAsia="仿宋_GB2312"/>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p>
    <w:p>
      <w:pPr>
        <w:ind w:firstLine="643" w:firstLineChars="200"/>
        <w:outlineLvl w:val="2"/>
        <w:rPr>
          <w:rFonts w:eastAsia="楷体_GB2312"/>
          <w:b/>
          <w:color w:val="000000" w:themeColor="text1"/>
          <w:sz w:val="32"/>
          <w:szCs w:val="32"/>
          <w14:textFill>
            <w14:solidFill>
              <w14:schemeClr w14:val="tx1"/>
            </w14:solidFill>
          </w14:textFill>
        </w:rPr>
      </w:pPr>
      <w:bookmarkStart w:id="29" w:name="_Toc15377211"/>
      <w:r>
        <w:rPr>
          <w:rFonts w:eastAsia="楷体_GB2312"/>
          <w:b/>
          <w:color w:val="000000" w:themeColor="text1"/>
          <w:sz w:val="32"/>
          <w:szCs w:val="32"/>
          <w14:textFill>
            <w14:solidFill>
              <w14:schemeClr w14:val="tx1"/>
            </w14:solidFill>
          </w14:textFill>
        </w:rPr>
        <w:t>（二）一般公共预算财政拨款支出决算结构情况</w:t>
      </w:r>
      <w:bookmarkEnd w:id="29"/>
    </w:p>
    <w:p>
      <w:pPr>
        <w:ind w:firstLine="640"/>
        <w:rPr>
          <w:rFonts w:eastAsia="仿宋_GB2312"/>
          <w:b/>
          <w:bCs/>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2024年度一般公共预算财政拨款支出3,132.2万元，主要用于以下方面：一般公共服务支出2,157.93万元，占68.9%；社会保障和就业支出680.12万元，占21.7%；卫生健康支出129.33万元，占4.1%；住房保障支出161.22万元，占5.2%；其他支出3.6万元，占0.1%。</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图6： 一般公共预算财政拨款支出决算结构</w:t>
      </w:r>
    </w:p>
    <w:p>
      <w:pPr>
        <w:ind w:firstLine="640"/>
        <w:rPr>
          <w:rFonts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2336" behindDoc="1" locked="0" layoutInCell="1" allowOverlap="1">
            <wp:simplePos x="0" y="0"/>
            <wp:positionH relativeFrom="column">
              <wp:posOffset>353060</wp:posOffset>
            </wp:positionH>
            <wp:positionV relativeFrom="paragraph">
              <wp:posOffset>95250</wp:posOffset>
            </wp:positionV>
            <wp:extent cx="4582795" cy="2761615"/>
            <wp:effectExtent l="0" t="0" r="8255" b="635"/>
            <wp:wrapNone/>
            <wp:docPr id="1" name="图片 1" descr="D:\桌面\微信图片_20250916193855_37_5.png微信图片_20250916193855_37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桌面\微信图片_20250916193855_37_5.png微信图片_20250916193855_37_5"/>
                    <pic:cNvPicPr>
                      <a:picLocks noChangeAspect="1"/>
                    </pic:cNvPicPr>
                  </pic:nvPicPr>
                  <pic:blipFill>
                    <a:blip r:embed="rId14"/>
                    <a:srcRect/>
                    <a:stretch>
                      <a:fillRect/>
                    </a:stretch>
                  </pic:blipFill>
                  <pic:spPr>
                    <a:xfrm>
                      <a:off x="0" y="0"/>
                      <a:ext cx="4582795" cy="2761615"/>
                    </a:xfrm>
                    <a:prstGeom prst="rect">
                      <a:avLst/>
                    </a:prstGeom>
                    <a:noFill/>
                    <a:ln>
                      <a:noFill/>
                    </a:ln>
                  </pic:spPr>
                </pic:pic>
              </a:graphicData>
            </a:graphic>
          </wp:anchor>
        </w:drawing>
      </w:r>
    </w:p>
    <w:p>
      <w:pPr>
        <w:ind w:firstLine="640"/>
        <w:rPr>
          <w:rFonts w:eastAsia="仿宋_GB2312"/>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p>
    <w:p>
      <w:pPr>
        <w:ind w:firstLine="643" w:firstLineChars="200"/>
        <w:outlineLvl w:val="2"/>
        <w:rPr>
          <w:rFonts w:eastAsia="楷体_GB2312"/>
          <w:b/>
          <w:color w:val="000000" w:themeColor="text1"/>
          <w:sz w:val="32"/>
          <w:szCs w:val="32"/>
          <w14:textFill>
            <w14:solidFill>
              <w14:schemeClr w14:val="tx1"/>
            </w14:solidFill>
          </w14:textFill>
        </w:rPr>
      </w:pPr>
      <w:bookmarkStart w:id="30" w:name="_Toc15377212"/>
      <w:r>
        <w:rPr>
          <w:rFonts w:eastAsia="楷体_GB2312"/>
          <w:b/>
          <w:color w:val="000000" w:themeColor="text1"/>
          <w:sz w:val="32"/>
          <w:szCs w:val="32"/>
          <w14:textFill>
            <w14:solidFill>
              <w14:schemeClr w14:val="tx1"/>
            </w14:solidFill>
          </w14:textFill>
        </w:rPr>
        <w:t>（三）一般公共预算财政拨款支出决算具体情况</w:t>
      </w:r>
      <w:bookmarkEnd w:id="30"/>
    </w:p>
    <w:p>
      <w:pPr>
        <w:ind w:firstLine="640"/>
        <w:rPr>
          <w:rFonts w:eastAsia="仿宋_GB2312"/>
          <w:color w:val="000000" w:themeColor="text1"/>
          <w:sz w:val="32"/>
          <w:szCs w:val="32"/>
          <w14:textFill>
            <w14:solidFill>
              <w14:schemeClr w14:val="tx1"/>
            </w14:solidFill>
          </w14:textFill>
        </w:rPr>
      </w:pPr>
      <w:bookmarkStart w:id="31" w:name="_Toc15377213"/>
      <w:bookmarkStart w:id="32" w:name="_Toc15377444"/>
      <w:bookmarkStart w:id="33" w:name="_Toc15378460"/>
      <w:r>
        <w:rPr>
          <w:rFonts w:eastAsia="仿宋_GB2312"/>
          <w:color w:val="000000" w:themeColor="text1"/>
          <w:sz w:val="32"/>
          <w:szCs w:val="32"/>
          <w14:textFill>
            <w14:solidFill>
              <w14:schemeClr w14:val="tx1"/>
            </w14:solidFill>
          </w14:textFill>
        </w:rPr>
        <w:t>2024年度一般公共预算财政拨款支出决算数为3,132.2</w:t>
      </w:r>
      <w:r>
        <w:rPr>
          <w:rFonts w:hint="eastAsia" w:eastAsia="仿宋_GB2312"/>
          <w:color w:val="000000" w:themeColor="text1"/>
          <w:sz w:val="32"/>
          <w:szCs w:val="32"/>
          <w14:textFill>
            <w14:solidFill>
              <w14:schemeClr w14:val="tx1"/>
            </w14:solidFill>
          </w14:textFill>
        </w:rPr>
        <w:t>万元</w:t>
      </w:r>
      <w:r>
        <w:rPr>
          <w:rFonts w:eastAsia="仿宋_GB2312"/>
          <w:color w:val="000000" w:themeColor="text1"/>
          <w:sz w:val="32"/>
          <w:szCs w:val="32"/>
          <w14:textFill>
            <w14:solidFill>
              <w14:schemeClr w14:val="tx1"/>
            </w14:solidFill>
          </w14:textFill>
        </w:rPr>
        <w:t>，完成预算100%。其中：</w:t>
      </w:r>
      <w:bookmarkEnd w:id="31"/>
      <w:bookmarkEnd w:id="32"/>
      <w:bookmarkEnd w:id="33"/>
    </w:p>
    <w:p>
      <w:pPr>
        <w:numPr>
          <w:ilvl w:val="0"/>
          <w:numId w:val="2"/>
        </w:num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一般公共服务（类）发展与改革事务（款）行政运行（项）：支出决算为1262.18万元，完成预算100%；事业运行支出决算为337.99万元，完成预算100%；其他发展与改革事务支出决算为549.22万元，完成预算100%；</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一般公共服务（类）纪检监察事务（款）派驻派出机构（项）：支出决算为1.54万元，完成预算100%；</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一般公共服务（类）组织事务（款）其他组织事务</w:t>
      </w:r>
      <w:r>
        <w:rPr>
          <w:rFonts w:hint="eastAsia" w:eastAsia="仿宋_GB2312"/>
          <w:color w:val="000000" w:themeColor="text1"/>
          <w:sz w:val="32"/>
          <w:szCs w:val="32"/>
          <w14:textFill>
            <w14:solidFill>
              <w14:schemeClr w14:val="tx1"/>
            </w14:solidFill>
          </w14:textFill>
        </w:rPr>
        <w:t>支出</w:t>
      </w:r>
      <w:r>
        <w:rPr>
          <w:rFonts w:eastAsia="仿宋_GB2312"/>
          <w:color w:val="000000" w:themeColor="text1"/>
          <w:sz w:val="32"/>
          <w:szCs w:val="32"/>
          <w14:textFill>
            <w14:solidFill>
              <w14:schemeClr w14:val="tx1"/>
            </w14:solidFill>
          </w14:textFill>
        </w:rPr>
        <w:t>（项）：支出决算为6.99万元，完成预算100%</w:t>
      </w:r>
      <w:r>
        <w:rPr>
          <w:rFonts w:hint="eastAsia" w:eastAsia="仿宋_GB2312"/>
          <w:color w:val="000000" w:themeColor="text1"/>
          <w:sz w:val="32"/>
          <w:szCs w:val="32"/>
          <w14:textFill>
            <w14:solidFill>
              <w14:schemeClr w14:val="tx1"/>
            </w14:solidFill>
          </w14:textFill>
        </w:rPr>
        <w:t>。</w:t>
      </w:r>
    </w:p>
    <w:p>
      <w:pPr>
        <w:numPr>
          <w:ilvl w:val="0"/>
          <w:numId w:val="2"/>
        </w:num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社会保障和就业（类）人力资源和社会保障管理事务（款）其他人力资源和社会保障管理事务支出（项）：支出决算为20.8万元，完成预算100%；</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社会保障和就业（类）行政事业单位养老支出（款）行政单位离退休（项）：支出决算为297.8万元，完成预算100%；事业单位离退休3.03万元，完成预算100%；机关事业单位基本养老保险缴费支出191.86万元，完成预算100%；机关事业单位职业年金缴费支出34.39万元，完成预算100%；</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社会保障和就业（类）抚恤（款）死亡抚恤（项）：支出决算为132.24万元，完成预算100%。</w:t>
      </w:r>
    </w:p>
    <w:p>
      <w:pPr>
        <w:numPr>
          <w:ilvl w:val="0"/>
          <w:numId w:val="2"/>
        </w:num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卫生健康（类）行政事业单位医疗（款）行政单位医疗（项）：支出决算为81.47万元，完成预算100%；事业单位医疗支出决算为21.93万元，完成预算100%；公务员医疗补助支出决算为11.25万元，完成预算100%；其他行政事业单位医疗支出决算为12.46万元，完成预算100%</w:t>
      </w:r>
      <w:r>
        <w:rPr>
          <w:rFonts w:hint="eastAsia" w:eastAsia="仿宋_GB2312"/>
          <w:color w:val="000000" w:themeColor="text1"/>
          <w:sz w:val="32"/>
          <w:szCs w:val="32"/>
          <w14:textFill>
            <w14:solidFill>
              <w14:schemeClr w14:val="tx1"/>
            </w14:solidFill>
          </w14:textFill>
        </w:rPr>
        <w:t>；</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卫生健康（类）其他卫生健康支出（款）其他卫生健康支出（项）：支出决算为2.22万元，完成预算100%。</w:t>
      </w:r>
    </w:p>
    <w:p>
      <w:pPr>
        <w:numPr>
          <w:ilvl w:val="0"/>
          <w:numId w:val="2"/>
        </w:num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住房保障支出（类）住房改革支出（款）住房公积金（项）：支出决算为161.22万元，完成预算100%。</w:t>
      </w:r>
    </w:p>
    <w:p>
      <w:pPr>
        <w:numPr>
          <w:ilvl w:val="0"/>
          <w:numId w:val="2"/>
        </w:num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其他支出（类）其他支出（款）其他支出（项）：支出决算为3.6万元，完成预算100%。</w:t>
      </w:r>
    </w:p>
    <w:p>
      <w:pPr>
        <w:tabs>
          <w:tab w:val="right" w:pos="8306"/>
        </w:tabs>
        <w:ind w:firstLine="640"/>
        <w:outlineLvl w:val="1"/>
        <w:rPr>
          <w:rStyle w:val="29"/>
          <w:rFonts w:ascii="Times New Roman" w:hAnsi="Times New Roman" w:cs="Times New Roman"/>
          <w:color w:val="000000" w:themeColor="text1"/>
          <w14:textFill>
            <w14:solidFill>
              <w14:schemeClr w14:val="tx1"/>
            </w14:solidFill>
          </w14:textFill>
        </w:rPr>
      </w:pPr>
      <w:bookmarkStart w:id="34" w:name="_Toc15396608"/>
      <w:bookmarkStart w:id="35" w:name="_Toc15377214"/>
      <w:r>
        <w:rPr>
          <w:rFonts w:eastAsia="黑体"/>
          <w:color w:val="000000" w:themeColor="text1"/>
          <w:sz w:val="32"/>
          <w:szCs w:val="32"/>
          <w14:textFill>
            <w14:solidFill>
              <w14:schemeClr w14:val="tx1"/>
            </w14:solidFill>
          </w14:textFill>
        </w:rPr>
        <w:t>六</w:t>
      </w:r>
      <w:r>
        <w:rPr>
          <w:rFonts w:eastAsia="黑体"/>
          <w:b/>
          <w:color w:val="000000" w:themeColor="text1"/>
          <w:sz w:val="32"/>
          <w:szCs w:val="32"/>
          <w14:textFill>
            <w14:solidFill>
              <w14:schemeClr w14:val="tx1"/>
            </w14:solidFill>
          </w14:textFill>
        </w:rPr>
        <w:t>、一</w:t>
      </w:r>
      <w:r>
        <w:rPr>
          <w:rStyle w:val="29"/>
          <w:rFonts w:ascii="Times New Roman" w:hAnsi="Times New Roman" w:eastAsia="黑体" w:cs="Times New Roman"/>
          <w:b w:val="0"/>
          <w:color w:val="000000" w:themeColor="text1"/>
          <w14:textFill>
            <w14:solidFill>
              <w14:schemeClr w14:val="tx1"/>
            </w14:solidFill>
          </w14:textFill>
        </w:rPr>
        <w:t>般公共预算财政拨款基本支出决算情况说明</w:t>
      </w:r>
      <w:bookmarkEnd w:id="34"/>
      <w:bookmarkEnd w:id="35"/>
      <w:r>
        <w:rPr>
          <w:rStyle w:val="29"/>
          <w:rFonts w:ascii="Times New Roman" w:hAnsi="Times New Roman" w:eastAsia="黑体" w:cs="Times New Roman"/>
          <w:b w:val="0"/>
          <w:color w:val="000000" w:themeColor="text1"/>
          <w14:textFill>
            <w14:solidFill>
              <w14:schemeClr w14:val="tx1"/>
            </w14:solidFill>
          </w14:textFill>
        </w:rPr>
        <w:tab/>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2024年度一般公共预算财政拨款基本支出2573.12万元，其中：</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人员经费2,313.1万元，主要包括：基本工资、津贴补贴、奖金、绩效工资、机关事业单位基本养老保险缴费、职业年金缴费、</w:t>
      </w:r>
      <w:r>
        <w:rPr>
          <w:rFonts w:hint="eastAsia" w:eastAsia="仿宋_GB2312"/>
          <w:color w:val="000000" w:themeColor="text1"/>
          <w:sz w:val="32"/>
          <w:szCs w:val="32"/>
          <w14:textFill>
            <w14:solidFill>
              <w14:schemeClr w14:val="tx1"/>
            </w14:solidFill>
          </w14:textFill>
        </w:rPr>
        <w:t>职工基本医疗保险缴费、</w:t>
      </w:r>
      <w:r>
        <w:rPr>
          <w:rFonts w:eastAsia="仿宋_GB2312"/>
          <w:color w:val="000000" w:themeColor="text1"/>
          <w:sz w:val="32"/>
          <w:szCs w:val="32"/>
          <w14:textFill>
            <w14:solidFill>
              <w14:schemeClr w14:val="tx1"/>
            </w14:solidFill>
          </w14:textFill>
        </w:rPr>
        <w:t>其他社会保障缴费、其他工资福利支出、抚恤金、生活补助、医疗费补助、奖励金、住房公积金、其他对个人和家庭的补助支出等。</w:t>
      </w:r>
      <w:r>
        <w:rPr>
          <w:rFonts w:eastAsia="仿宋_GB2312"/>
          <w:color w:val="000000" w:themeColor="text1"/>
          <w:sz w:val="32"/>
          <w:szCs w:val="32"/>
          <w14:textFill>
            <w14:solidFill>
              <w14:schemeClr w14:val="tx1"/>
            </w14:solidFill>
          </w14:textFill>
        </w:rPr>
        <w:br w:type="textWrapping"/>
      </w:r>
      <w:r>
        <w:rPr>
          <w:rFonts w:eastAsia="仿宋_GB2312"/>
          <w:color w:val="000000" w:themeColor="text1"/>
          <w:sz w:val="32"/>
          <w:szCs w:val="32"/>
          <w14:textFill>
            <w14:solidFill>
              <w14:schemeClr w14:val="tx1"/>
            </w14:solidFill>
          </w14:textFill>
        </w:rPr>
        <w:t>　　公用经费260.01万元，主要包括：办公费、咨询费、水费、电费、邮电费、物业管理费、差旅费、会议费、培训费、公务接待费、劳务费、工会经费、福利费、公务用车运行维护费、其他交通费、其他商品和服务支出等。</w:t>
      </w:r>
    </w:p>
    <w:p>
      <w:pPr>
        <w:tabs>
          <w:tab w:val="right" w:pos="8306"/>
        </w:tabs>
        <w:ind w:firstLine="640"/>
        <w:outlineLvl w:val="1"/>
        <w:rPr>
          <w:rStyle w:val="16"/>
          <w:rFonts w:ascii="黑体" w:hAnsi="黑体" w:eastAsia="黑体" w:cs="Times New Roman"/>
          <w:b w:val="0"/>
          <w:color w:val="000000" w:themeColor="text1"/>
          <w:sz w:val="32"/>
          <w:szCs w:val="32"/>
          <w14:textFill>
            <w14:solidFill>
              <w14:schemeClr w14:val="tx1"/>
            </w14:solidFill>
          </w14:textFill>
        </w:rPr>
      </w:pPr>
      <w:bookmarkStart w:id="36" w:name="_Toc15377215"/>
      <w:bookmarkStart w:id="37" w:name="_Toc15396609"/>
      <w:r>
        <w:rPr>
          <w:rFonts w:hint="eastAsia" w:ascii="黑体" w:hAnsi="黑体" w:eastAsia="黑体" w:cs="Times New Roman"/>
          <w:b w:val="0"/>
          <w:bCs w:val="0"/>
          <w:color w:val="000000" w:themeColor="text1"/>
          <w:sz w:val="32"/>
          <w:szCs w:val="32"/>
          <w14:textFill>
            <w14:solidFill>
              <w14:schemeClr w14:val="tx1"/>
            </w14:solidFill>
          </w14:textFill>
        </w:rPr>
        <w:t>七、</w:t>
      </w:r>
      <w:r>
        <w:rPr>
          <w:rStyle w:val="16"/>
          <w:rFonts w:hint="eastAsia" w:ascii="黑体" w:hAnsi="黑体" w:eastAsia="黑体" w:cs="Times New Roman"/>
          <w:b w:val="0"/>
          <w:color w:val="000000" w:themeColor="text1"/>
          <w:sz w:val="32"/>
          <w:szCs w:val="32"/>
          <w14:textFill>
            <w14:solidFill>
              <w14:schemeClr w14:val="tx1"/>
            </w14:solidFill>
          </w14:textFill>
        </w:rPr>
        <w:t>财政拨款</w:t>
      </w:r>
      <w:r>
        <w:rPr>
          <w:rStyle w:val="16"/>
          <w:rFonts w:ascii="黑体" w:hAnsi="黑体" w:eastAsia="黑体" w:cs="Times New Roman"/>
          <w:color w:val="000000" w:themeColor="text1"/>
          <w:sz w:val="32"/>
          <w:szCs w:val="32"/>
          <w14:textFill>
            <w14:solidFill>
              <w14:schemeClr w14:val="tx1"/>
            </w14:solidFill>
          </w14:textFill>
        </w:rPr>
        <w:t>“</w:t>
      </w:r>
      <w:r>
        <w:rPr>
          <w:rStyle w:val="16"/>
          <w:rFonts w:hint="eastAsia" w:ascii="黑体" w:hAnsi="黑体" w:eastAsia="黑体" w:cs="Times New Roman"/>
          <w:b w:val="0"/>
          <w:color w:val="000000" w:themeColor="text1"/>
          <w:sz w:val="32"/>
          <w:szCs w:val="32"/>
          <w14:textFill>
            <w14:solidFill>
              <w14:schemeClr w14:val="tx1"/>
            </w14:solidFill>
          </w14:textFill>
        </w:rPr>
        <w:t>三公”经费支出决算情况说明</w:t>
      </w:r>
      <w:bookmarkEnd w:id="36"/>
      <w:bookmarkEnd w:id="37"/>
    </w:p>
    <w:p>
      <w:pPr>
        <w:ind w:firstLine="643" w:firstLineChars="200"/>
        <w:outlineLvl w:val="2"/>
        <w:rPr>
          <w:rFonts w:ascii="楷体_GB2312" w:eastAsia="楷体_GB2312"/>
          <w:b/>
          <w:color w:val="000000" w:themeColor="text1"/>
          <w:sz w:val="32"/>
          <w:szCs w:val="32"/>
          <w14:textFill>
            <w14:solidFill>
              <w14:schemeClr w14:val="tx1"/>
            </w14:solidFill>
          </w14:textFill>
        </w:rPr>
      </w:pPr>
      <w:bookmarkStart w:id="38" w:name="_Toc15377216"/>
      <w:r>
        <w:rPr>
          <w:rFonts w:hint="eastAsia" w:ascii="楷体_GB2312" w:eastAsia="楷体_GB2312"/>
          <w:b/>
          <w:color w:val="000000" w:themeColor="text1"/>
          <w:sz w:val="32"/>
          <w:szCs w:val="32"/>
          <w14:textFill>
            <w14:solidFill>
              <w14:schemeClr w14:val="tx1"/>
            </w14:solidFill>
          </w14:textFill>
        </w:rPr>
        <w:t>（一）</w:t>
      </w:r>
      <w:r>
        <w:rPr>
          <w:rFonts w:ascii="楷体_GB2312" w:eastAsia="楷体_GB2312"/>
          <w:b/>
          <w:color w:val="000000" w:themeColor="text1"/>
          <w:sz w:val="32"/>
          <w:szCs w:val="32"/>
          <w14:textFill>
            <w14:solidFill>
              <w14:schemeClr w14:val="tx1"/>
            </w14:solidFill>
          </w14:textFill>
        </w:rPr>
        <w:t>“</w:t>
      </w:r>
      <w:r>
        <w:rPr>
          <w:rFonts w:hint="eastAsia" w:ascii="楷体_GB2312" w:eastAsia="楷体_GB2312"/>
          <w:b/>
          <w:color w:val="000000" w:themeColor="text1"/>
          <w:sz w:val="32"/>
          <w:szCs w:val="32"/>
          <w14:textFill>
            <w14:solidFill>
              <w14:schemeClr w14:val="tx1"/>
            </w14:solidFill>
          </w14:textFill>
        </w:rPr>
        <w:t>三公</w:t>
      </w:r>
      <w:r>
        <w:rPr>
          <w:rFonts w:ascii="楷体_GB2312" w:eastAsia="楷体_GB2312"/>
          <w:b/>
          <w:color w:val="000000" w:themeColor="text1"/>
          <w:sz w:val="32"/>
          <w:szCs w:val="32"/>
          <w14:textFill>
            <w14:solidFill>
              <w14:schemeClr w14:val="tx1"/>
            </w14:solidFill>
          </w14:textFill>
        </w:rPr>
        <w:t>”</w:t>
      </w:r>
      <w:r>
        <w:rPr>
          <w:rFonts w:hint="eastAsia" w:ascii="楷体_GB2312" w:eastAsia="楷体_GB2312"/>
          <w:b/>
          <w:color w:val="000000" w:themeColor="text1"/>
          <w:sz w:val="32"/>
          <w:szCs w:val="32"/>
          <w14:textFill>
            <w14:solidFill>
              <w14:schemeClr w14:val="tx1"/>
            </w14:solidFill>
          </w14:textFill>
        </w:rPr>
        <w:t>经费财政拨款支出决算总体情况说明</w:t>
      </w:r>
      <w:bookmarkEnd w:id="38"/>
    </w:p>
    <w:p>
      <w:pPr>
        <w:ind w:firstLine="640"/>
        <w:rPr>
          <w:rFonts w:eastAsia="仿宋_GB2312"/>
          <w:b/>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2024年度“三公”经费财政拨款支出决算为9.64万元，完成预算100%，较上年度9.91万元减少0.27万元，下降2.72%。决算数与预算数持平的主要原因是委机关坚持厉行节约的原则，严格落实政府过紧日子要求，有效控制“三公”经费财政拨款支出。</w:t>
      </w:r>
    </w:p>
    <w:p>
      <w:pPr>
        <w:ind w:firstLine="643" w:firstLineChars="200"/>
        <w:outlineLvl w:val="2"/>
        <w:rPr>
          <w:rFonts w:eastAsia="楷体_GB2312"/>
          <w:b/>
          <w:color w:val="000000" w:themeColor="text1"/>
          <w:sz w:val="32"/>
          <w:szCs w:val="32"/>
          <w14:textFill>
            <w14:solidFill>
              <w14:schemeClr w14:val="tx1"/>
            </w14:solidFill>
          </w14:textFill>
        </w:rPr>
      </w:pPr>
      <w:bookmarkStart w:id="39" w:name="_Toc15377217"/>
      <w:r>
        <w:rPr>
          <w:rFonts w:eastAsia="楷体_GB2312"/>
          <w:b/>
          <w:color w:val="000000" w:themeColor="text1"/>
          <w:sz w:val="32"/>
          <w:szCs w:val="32"/>
          <w14:textFill>
            <w14:solidFill>
              <w14:schemeClr w14:val="tx1"/>
            </w14:solidFill>
          </w14:textFill>
        </w:rPr>
        <w:t>（二）“三公”经费财政拨款支出决算具体情况说明</w:t>
      </w:r>
      <w:bookmarkEnd w:id="39"/>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2024年度“三公”经费财政拨款支出决算中，因公出国（境）费支出决算0万元</w:t>
      </w:r>
      <w:r>
        <w:rPr>
          <w:rFonts w:hint="eastAsia" w:eastAsia="仿宋_GB2312"/>
          <w:color w:val="000000" w:themeColor="text1"/>
          <w:sz w:val="32"/>
          <w:szCs w:val="32"/>
          <w14:textFill>
            <w14:solidFill>
              <w14:schemeClr w14:val="tx1"/>
            </w14:solidFill>
          </w14:textFill>
        </w:rPr>
        <w:t>，占</w:t>
      </w:r>
      <w:r>
        <w:rPr>
          <w:rFonts w:eastAsia="仿宋_GB2312"/>
          <w:color w:val="000000" w:themeColor="text1"/>
          <w:sz w:val="32"/>
          <w:szCs w:val="32"/>
          <w14:textFill>
            <w14:solidFill>
              <w14:schemeClr w14:val="tx1"/>
            </w14:solidFill>
          </w14:textFill>
        </w:rPr>
        <w:t>0</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；公务用车购置及运行维护费支出决算6.73万元，占69.8%；公务接待费支出决算2.91万元，占30.2%。具体情况如下：</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图7：“三公”经费财政拨款支出结构</w:t>
      </w:r>
    </w:p>
    <w:p>
      <w:pPr>
        <w:pStyle w:val="2"/>
        <w:rPr>
          <w:rFonts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3360" behindDoc="1" locked="0" layoutInCell="1" allowOverlap="1">
            <wp:simplePos x="0" y="0"/>
            <wp:positionH relativeFrom="column">
              <wp:posOffset>471170</wp:posOffset>
            </wp:positionH>
            <wp:positionV relativeFrom="paragraph">
              <wp:posOffset>111760</wp:posOffset>
            </wp:positionV>
            <wp:extent cx="4558665" cy="2761615"/>
            <wp:effectExtent l="0" t="0" r="13335" b="635"/>
            <wp:wrapTight wrapText="bothSides">
              <wp:wrapPolygon>
                <wp:start x="0" y="0"/>
                <wp:lineTo x="0" y="21456"/>
                <wp:lineTo x="21483" y="21456"/>
                <wp:lineTo x="21483" y="0"/>
                <wp:lineTo x="0" y="0"/>
              </wp:wrapPolygon>
            </wp:wrapTight>
            <wp:docPr id="7" name="图片 1" descr="D:\桌面\微信图片_20250916193941_38_5.png微信图片_20250916193941_38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D:\桌面\微信图片_20250916193941_38_5.png微信图片_20250916193941_38_5"/>
                    <pic:cNvPicPr>
                      <a:picLocks noChangeAspect="1"/>
                    </pic:cNvPicPr>
                  </pic:nvPicPr>
                  <pic:blipFill>
                    <a:blip r:embed="rId15"/>
                    <a:srcRect/>
                    <a:stretch>
                      <a:fillRect/>
                    </a:stretch>
                  </pic:blipFill>
                  <pic:spPr>
                    <a:xfrm>
                      <a:off x="0" y="0"/>
                      <a:ext cx="4558665" cy="2761615"/>
                    </a:xfrm>
                    <a:prstGeom prst="rect">
                      <a:avLst/>
                    </a:prstGeom>
                    <a:noFill/>
                    <a:ln>
                      <a:noFill/>
                    </a:ln>
                  </pic:spPr>
                </pic:pic>
              </a:graphicData>
            </a:graphic>
          </wp:anchor>
        </w:drawing>
      </w:r>
    </w:p>
    <w:p>
      <w:pPr>
        <w:pStyle w:val="3"/>
        <w:spacing w:after="0"/>
        <w:ind w:left="0" w:leftChars="0" w:firstLine="0" w:firstLineChars="0"/>
        <w:rPr>
          <w:rFonts w:eastAsia="仿宋_GB2312" w:cs="仿宋_GB2312"/>
          <w:color w:val="000000" w:themeColor="text1"/>
          <w:sz w:val="32"/>
          <w14:textFill>
            <w14:solidFill>
              <w14:schemeClr w14:val="tx1"/>
            </w14:solidFill>
          </w14:textFill>
        </w:rPr>
      </w:pPr>
    </w:p>
    <w:p>
      <w:pPr>
        <w:ind w:firstLine="640"/>
        <w:rPr>
          <w:rFonts w:eastAsia="仿宋_GB2312" w:cs="仿宋_GB2312"/>
          <w:b/>
          <w:bCs/>
          <w:color w:val="000000" w:themeColor="text1"/>
          <w:sz w:val="32"/>
          <w:szCs w:val="32"/>
          <w14:textFill>
            <w14:solidFill>
              <w14:schemeClr w14:val="tx1"/>
            </w14:solidFill>
          </w14:textFill>
        </w:rPr>
      </w:pPr>
    </w:p>
    <w:p>
      <w:pPr>
        <w:ind w:firstLine="640"/>
        <w:rPr>
          <w:rFonts w:eastAsia="仿宋_GB2312" w:cs="仿宋_GB2312"/>
          <w:b/>
          <w:bCs/>
          <w:color w:val="000000" w:themeColor="text1"/>
          <w:sz w:val="32"/>
          <w:szCs w:val="32"/>
          <w14:textFill>
            <w14:solidFill>
              <w14:schemeClr w14:val="tx1"/>
            </w14:solidFill>
          </w14:textFill>
        </w:rPr>
      </w:pPr>
    </w:p>
    <w:p>
      <w:pPr>
        <w:ind w:firstLine="640"/>
        <w:rPr>
          <w:rFonts w:eastAsia="仿宋_GB2312" w:cs="仿宋_GB2312"/>
          <w:b/>
          <w:bCs/>
          <w:color w:val="000000" w:themeColor="text1"/>
          <w:sz w:val="32"/>
          <w:szCs w:val="32"/>
          <w14:textFill>
            <w14:solidFill>
              <w14:schemeClr w14:val="tx1"/>
            </w14:solidFill>
          </w14:textFill>
        </w:rPr>
      </w:pPr>
    </w:p>
    <w:p>
      <w:pPr>
        <w:ind w:firstLine="640"/>
        <w:rPr>
          <w:rFonts w:eastAsia="仿宋_GB2312" w:cs="仿宋_GB2312"/>
          <w:b/>
          <w:bCs/>
          <w:color w:val="000000" w:themeColor="text1"/>
          <w:sz w:val="32"/>
          <w:szCs w:val="32"/>
          <w14:textFill>
            <w14:solidFill>
              <w14:schemeClr w14:val="tx1"/>
            </w14:solidFill>
          </w14:textFill>
        </w:rPr>
      </w:pPr>
    </w:p>
    <w:p>
      <w:pPr>
        <w:ind w:firstLine="640"/>
        <w:rPr>
          <w:rFonts w:eastAsia="仿宋_GB2312" w:cs="仿宋_GB2312"/>
          <w:b/>
          <w:bCs/>
          <w:color w:val="000000" w:themeColor="text1"/>
          <w:sz w:val="32"/>
          <w:szCs w:val="32"/>
          <w14:textFill>
            <w14:solidFill>
              <w14:schemeClr w14:val="tx1"/>
            </w14:solidFill>
          </w14:textFill>
        </w:rPr>
      </w:pPr>
    </w:p>
    <w:p>
      <w:pPr>
        <w:ind w:firstLine="640"/>
        <w:rPr>
          <w:rFonts w:eastAsia="仿宋_GB2312" w:cs="仿宋_GB2312"/>
          <w:b/>
          <w:bCs/>
          <w:color w:val="000000" w:themeColor="text1"/>
          <w:sz w:val="32"/>
          <w:szCs w:val="32"/>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1.因公出国（境）经费支出0万元。</w:t>
      </w:r>
      <w:r>
        <w:rPr>
          <w:rFonts w:eastAsia="仿宋_GB2312"/>
          <w:color w:val="000000" w:themeColor="text1"/>
          <w:sz w:val="32"/>
          <w:szCs w:val="32"/>
          <w14:textFill>
            <w14:solidFill>
              <w14:schemeClr w14:val="tx1"/>
            </w14:solidFill>
          </w14:textFill>
        </w:rPr>
        <w:t>全年安排因公出国（境）团组0次，出国（境）0人。</w:t>
      </w:r>
      <w:r>
        <w:rPr>
          <w:rFonts w:hint="eastAsia" w:eastAsia="仿宋_GB2312"/>
          <w:color w:val="000000" w:themeColor="text1"/>
          <w:sz w:val="32"/>
          <w:szCs w:val="32"/>
          <w14:textFill>
            <w14:solidFill>
              <w14:schemeClr w14:val="tx1"/>
            </w14:solidFill>
          </w14:textFill>
        </w:rPr>
        <w:t>因公出国（境）支出决算与2023年持平。</w:t>
      </w:r>
    </w:p>
    <w:p>
      <w:pPr>
        <w:ind w:firstLine="64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2.公务用车购置及运行维护费支出6.73万元，完成预算100%。</w:t>
      </w:r>
      <w:r>
        <w:rPr>
          <w:rFonts w:eastAsia="仿宋_GB2312"/>
          <w:color w:val="000000" w:themeColor="text1"/>
          <w:sz w:val="32"/>
          <w:szCs w:val="32"/>
          <w14:textFill>
            <w14:solidFill>
              <w14:schemeClr w14:val="tx1"/>
            </w14:solidFill>
          </w14:textFill>
        </w:rPr>
        <w:t>公务用车购置及运行维护费支出决算比2023年度7万元减少0.27万元，下降3.86%。主要原因是我委有效控制公务用车各项费用支出。</w:t>
      </w:r>
    </w:p>
    <w:p>
      <w:pPr>
        <w:ind w:firstLine="640" w:firstLineChars="200"/>
        <w:rPr>
          <w:rFonts w:eastAsia="仿宋_GB2312"/>
          <w:b/>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其中：公务用车购置支出0万元。全年按规定更新购置公务用车0辆，其中：轿车0辆、金额0万元，越野车0辆、金额0万元，载客汽车0辆、金额0万元。截至2024年12月31日，单位共有公务用车5辆，其中：商务车1辆、越野车2辆、其他用车2辆（市重要和应急物资储备中心内燃叉车2辆）。</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公务用车运行维护费支出6.73万元。主要用于争取项目资金、加快攀西试验区高质量发展、开展项目储备包装、推进共同富裕试验区公共服务可及和区域协同共富专班工作、深化区域合作、森林草原防灭火工作检查、开展重大项目调研、粮食及应急物资管理监督检查等所需的公务用车燃料费、维修费、过路过桥费、保险费等支出。</w:t>
      </w:r>
    </w:p>
    <w:p>
      <w:pPr>
        <w:ind w:firstLine="64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3.公务接待费支出2.91万元，完成预算100%。</w:t>
      </w:r>
      <w:r>
        <w:rPr>
          <w:rFonts w:eastAsia="仿宋_GB2312"/>
          <w:color w:val="000000" w:themeColor="text1"/>
          <w:sz w:val="32"/>
          <w:szCs w:val="32"/>
          <w14:textFill>
            <w14:solidFill>
              <w14:schemeClr w14:val="tx1"/>
            </w14:solidFill>
          </w14:textFill>
        </w:rPr>
        <w:t>公务接待费支出决算与2023年度持平。其中：</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国内公务接待支出2.91万元，主要用于省发展改革委、省粮食</w:t>
      </w:r>
      <w:r>
        <w:rPr>
          <w:rFonts w:hint="eastAsia" w:eastAsia="仿宋_GB2312"/>
          <w:color w:val="000000" w:themeColor="text1"/>
          <w:sz w:val="32"/>
          <w:szCs w:val="32"/>
          <w14:textFill>
            <w14:solidFill>
              <w14:schemeClr w14:val="tx1"/>
            </w14:solidFill>
          </w14:textFill>
        </w:rPr>
        <w:t>和物资</w:t>
      </w:r>
      <w:r>
        <w:rPr>
          <w:rFonts w:eastAsia="仿宋_GB2312"/>
          <w:color w:val="000000" w:themeColor="text1"/>
          <w:sz w:val="32"/>
          <w:szCs w:val="32"/>
          <w14:textFill>
            <w14:solidFill>
              <w14:schemeClr w14:val="tx1"/>
            </w14:solidFill>
          </w14:textFill>
        </w:rPr>
        <w:t>储备局等上级部门来攀调研、检查，其他市（州）来攀对接工作、学习交流用餐费等。国内公务接待24批次，129人次（不包括陪同人员），共计支出2.91万元，具体内容包括：省发展改革委、省能源局、省粮食和物资储备局、省统计局、省交通运输厅、省大数据中心等上级部门来攀调研智慧城市、物流降本增效、金沙江水运、铁路项目推进、共富等工作接待支出1.11万元；楚雄州政府、上海市、深圳市、广元市等相关单位、上级部门来攀开展交流、专项核查等工作接待支出1.80万元。</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外事接待支出0万元。</w:t>
      </w:r>
    </w:p>
    <w:p>
      <w:pPr>
        <w:ind w:firstLine="640"/>
        <w:outlineLvl w:val="1"/>
        <w:rPr>
          <w:rStyle w:val="29"/>
          <w:rFonts w:ascii="Times New Roman" w:hAnsi="Times New Roman" w:eastAsia="黑体" w:cs="Times New Roman"/>
          <w:color w:val="000000" w:themeColor="text1"/>
          <w14:textFill>
            <w14:solidFill>
              <w14:schemeClr w14:val="tx1"/>
            </w14:solidFill>
          </w14:textFill>
        </w:rPr>
      </w:pPr>
      <w:bookmarkStart w:id="40" w:name="_Toc15377218"/>
      <w:bookmarkStart w:id="41" w:name="_Toc15396610"/>
      <w:r>
        <w:rPr>
          <w:rFonts w:eastAsia="黑体"/>
          <w:color w:val="000000" w:themeColor="text1"/>
          <w:sz w:val="32"/>
          <w:szCs w:val="32"/>
          <w14:textFill>
            <w14:solidFill>
              <w14:schemeClr w14:val="tx1"/>
            </w14:solidFill>
          </w14:textFill>
        </w:rPr>
        <w:t>八、</w:t>
      </w:r>
      <w:r>
        <w:rPr>
          <w:rStyle w:val="29"/>
          <w:rFonts w:ascii="Times New Roman" w:hAnsi="Times New Roman" w:eastAsia="黑体" w:cs="Times New Roman"/>
          <w:b w:val="0"/>
          <w:color w:val="000000" w:themeColor="text1"/>
          <w14:textFill>
            <w14:solidFill>
              <w14:schemeClr w14:val="tx1"/>
            </w14:solidFill>
          </w14:textFill>
        </w:rPr>
        <w:t>政府性基金预算支出决算情况说明</w:t>
      </w:r>
      <w:bookmarkEnd w:id="40"/>
      <w:bookmarkEnd w:id="41"/>
    </w:p>
    <w:p>
      <w:pPr>
        <w:ind w:firstLine="640" w:firstLineChars="200"/>
        <w:outlineLvl w:val="1"/>
        <w:rPr>
          <w:color w:val="000000" w:themeColor="text1"/>
          <w14:textFill>
            <w14:solidFill>
              <w14:schemeClr w14:val="tx1"/>
            </w14:solidFill>
          </w14:textFill>
        </w:rPr>
      </w:pPr>
      <w:r>
        <w:rPr>
          <w:rFonts w:eastAsia="仿宋_GB2312"/>
          <w:color w:val="000000" w:themeColor="text1"/>
          <w:sz w:val="32"/>
          <w:szCs w:val="32"/>
          <w14:textFill>
            <w14:solidFill>
              <w14:schemeClr w14:val="tx1"/>
            </w14:solidFill>
          </w14:textFill>
        </w:rPr>
        <w:t>2024年度政府性基金预算财政拨款支出40.45万元，占本年支出合计的0.56%。与2023年度318.68万元相比，政府性基金预算财政拨款支出减少278.23万元，下降87.31%。主要变动原因是</w:t>
      </w:r>
      <w:bookmarkStart w:id="42" w:name="_Toc15396611"/>
      <w:bookmarkStart w:id="43" w:name="_Toc15377219"/>
      <w:r>
        <w:rPr>
          <w:rFonts w:eastAsia="仿宋_GB2312"/>
          <w:color w:val="000000" w:themeColor="text1"/>
          <w:sz w:val="32"/>
          <w:szCs w:val="32"/>
          <w14:textFill>
            <w14:solidFill>
              <w14:schemeClr w14:val="tx1"/>
            </w14:solidFill>
          </w14:textFill>
        </w:rPr>
        <w:t>预算拨款减少。</w:t>
      </w:r>
    </w:p>
    <w:p>
      <w:pPr>
        <w:ind w:left="630"/>
        <w:outlineLvl w:val="1"/>
        <w:rPr>
          <w:rStyle w:val="29"/>
          <w:rFonts w:ascii="Times New Roman" w:hAnsi="Times New Roman" w:eastAsia="黑体" w:cs="Times New Roman"/>
          <w:b w:val="0"/>
          <w:color w:val="000000" w:themeColor="text1"/>
          <w14:textFill>
            <w14:solidFill>
              <w14:schemeClr w14:val="tx1"/>
            </w14:solidFill>
          </w14:textFill>
        </w:rPr>
      </w:pPr>
      <w:r>
        <w:rPr>
          <w:rStyle w:val="29"/>
          <w:rFonts w:ascii="Times New Roman" w:hAnsi="Times New Roman" w:eastAsia="黑体" w:cs="Times New Roman"/>
          <w:b w:val="0"/>
          <w:color w:val="000000" w:themeColor="text1"/>
          <w14:textFill>
            <w14:solidFill>
              <w14:schemeClr w14:val="tx1"/>
            </w14:solidFill>
          </w14:textFill>
        </w:rPr>
        <w:t>九、国有资本经营预算支出决算情况说明</w:t>
      </w:r>
      <w:bookmarkEnd w:id="42"/>
      <w:bookmarkEnd w:id="43"/>
    </w:p>
    <w:p>
      <w:pPr>
        <w:ind w:firstLine="640"/>
        <w:rPr>
          <w:color w:val="000000" w:themeColor="text1"/>
          <w14:textFill>
            <w14:solidFill>
              <w14:schemeClr w14:val="tx1"/>
            </w14:solidFill>
          </w14:textFill>
        </w:rPr>
      </w:pPr>
      <w:r>
        <w:rPr>
          <w:rFonts w:eastAsia="仿宋_GB2312"/>
          <w:color w:val="000000" w:themeColor="text1"/>
          <w:sz w:val="32"/>
          <w:szCs w:val="32"/>
          <w14:textFill>
            <w14:solidFill>
              <w14:schemeClr w14:val="tx1"/>
            </w14:solidFill>
          </w14:textFill>
        </w:rPr>
        <w:t>2024年度国有资本经营预算财政拨款支出0万元，占本年支出合计的0%。</w:t>
      </w:r>
      <w:r>
        <w:rPr>
          <w:rFonts w:hint="eastAsia" w:eastAsia="仿宋_GB2312"/>
          <w:color w:val="000000" w:themeColor="text1"/>
          <w:sz w:val="32"/>
          <w:szCs w:val="32"/>
          <w14:textFill>
            <w14:solidFill>
              <w14:schemeClr w14:val="tx1"/>
            </w14:solidFill>
          </w14:textFill>
        </w:rPr>
        <w:t>与2023年度相比，国有资本经营预算财政拨款支出与上年持平。</w:t>
      </w:r>
    </w:p>
    <w:p>
      <w:pPr>
        <w:ind w:left="630"/>
        <w:outlineLvl w:val="1"/>
        <w:rPr>
          <w:rStyle w:val="29"/>
          <w:rFonts w:ascii="Times New Roman" w:hAnsi="Times New Roman" w:eastAsia="黑体" w:cs="Times New Roman"/>
          <w:b w:val="0"/>
          <w:color w:val="000000" w:themeColor="text1"/>
          <w14:textFill>
            <w14:solidFill>
              <w14:schemeClr w14:val="tx1"/>
            </w14:solidFill>
          </w14:textFill>
        </w:rPr>
      </w:pPr>
      <w:bookmarkStart w:id="44" w:name="_Toc15377221"/>
      <w:bookmarkStart w:id="45" w:name="_Toc15396612"/>
      <w:r>
        <w:rPr>
          <w:rStyle w:val="29"/>
          <w:rFonts w:ascii="Times New Roman" w:hAnsi="Times New Roman" w:eastAsia="黑体" w:cs="Times New Roman"/>
          <w:b w:val="0"/>
          <w:color w:val="000000" w:themeColor="text1"/>
          <w14:textFill>
            <w14:solidFill>
              <w14:schemeClr w14:val="tx1"/>
            </w14:solidFill>
          </w14:textFill>
        </w:rPr>
        <w:t>十、其他重要事项的情况说明</w:t>
      </w:r>
      <w:bookmarkEnd w:id="44"/>
      <w:bookmarkEnd w:id="45"/>
    </w:p>
    <w:p>
      <w:pPr>
        <w:ind w:firstLine="643" w:firstLineChars="200"/>
        <w:outlineLvl w:val="2"/>
        <w:rPr>
          <w:rFonts w:eastAsia="楷体_GB2312"/>
          <w:b/>
          <w:color w:val="000000" w:themeColor="text1"/>
          <w:sz w:val="32"/>
          <w:szCs w:val="32"/>
          <w14:textFill>
            <w14:solidFill>
              <w14:schemeClr w14:val="tx1"/>
            </w14:solidFill>
          </w14:textFill>
        </w:rPr>
      </w:pPr>
      <w:bookmarkStart w:id="46" w:name="_Toc15377222"/>
      <w:r>
        <w:rPr>
          <w:rFonts w:eastAsia="楷体_GB2312"/>
          <w:b/>
          <w:color w:val="000000" w:themeColor="text1"/>
          <w:sz w:val="32"/>
          <w:szCs w:val="32"/>
          <w14:textFill>
            <w14:solidFill>
              <w14:schemeClr w14:val="tx1"/>
            </w14:solidFill>
          </w14:textFill>
        </w:rPr>
        <w:t>（一）机关运行经费支出情况</w:t>
      </w:r>
      <w:bookmarkEnd w:id="46"/>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2024年度，攀枝花市发展和改革委员会机关运行经费支出260.01万元，比2023年度239.74万元增加20.27万元，增长8.45%。主要原因是因工作需要及人员增加，2024年的办公费、差旅费、其他交通费用支出较2023年均有所增加，导致机关运行经费支出增加。</w:t>
      </w:r>
    </w:p>
    <w:p>
      <w:pPr>
        <w:ind w:firstLine="643" w:firstLineChars="200"/>
        <w:outlineLvl w:val="2"/>
        <w:rPr>
          <w:rFonts w:eastAsia="楷体_GB2312"/>
          <w:b/>
          <w:color w:val="000000" w:themeColor="text1"/>
          <w:sz w:val="32"/>
          <w:szCs w:val="32"/>
          <w14:textFill>
            <w14:solidFill>
              <w14:schemeClr w14:val="tx1"/>
            </w14:solidFill>
          </w14:textFill>
        </w:rPr>
      </w:pPr>
      <w:bookmarkStart w:id="47" w:name="_Toc15377223"/>
      <w:r>
        <w:rPr>
          <w:rFonts w:hint="eastAsia" w:eastAsia="楷体_GB2312"/>
          <w:b/>
          <w:color w:val="000000" w:themeColor="text1"/>
          <w:sz w:val="32"/>
          <w:szCs w:val="32"/>
          <w14:textFill>
            <w14:solidFill>
              <w14:schemeClr w14:val="tx1"/>
            </w14:solidFill>
          </w14:textFill>
        </w:rPr>
        <w:t>（二）政府采购支出情况</w:t>
      </w:r>
      <w:bookmarkEnd w:id="47"/>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2024年度，攀枝花市发展和改革委员会政府采购支出总额661.25万元，其中：政府采购货物支出183.05万元、政府采购工程支出0万元、政府采购服务支出478.2万元。主要用于攀枝花市粮食质量检验监测中心实验室改造项目</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公务用车维修保险等、昭攀铁路（攀枝花段）可行性研究报告编制、攀枝花市公共信用信息共享平台服务项目、攀枝花市国家现代流通战略支点城市建设研究项目等。授予中小企业合同金额266.85万元，占政府采购支出总额的40.36%，其中：授予小微企业合同金额186.05万元，占政府采购支出总额的28.14%。</w:t>
      </w:r>
    </w:p>
    <w:p>
      <w:pPr>
        <w:ind w:firstLine="643" w:firstLineChars="200"/>
        <w:outlineLvl w:val="2"/>
        <w:rPr>
          <w:rFonts w:eastAsia="楷体_GB2312"/>
          <w:b/>
          <w:color w:val="000000" w:themeColor="text1"/>
          <w:sz w:val="32"/>
          <w:szCs w:val="32"/>
          <w14:textFill>
            <w14:solidFill>
              <w14:schemeClr w14:val="tx1"/>
            </w14:solidFill>
          </w14:textFill>
        </w:rPr>
      </w:pPr>
      <w:bookmarkStart w:id="48" w:name="_Toc15377224"/>
      <w:r>
        <w:rPr>
          <w:rFonts w:eastAsia="楷体_GB2312"/>
          <w:b/>
          <w:color w:val="000000" w:themeColor="text1"/>
          <w:sz w:val="32"/>
          <w:szCs w:val="32"/>
          <w14:textFill>
            <w14:solidFill>
              <w14:schemeClr w14:val="tx1"/>
            </w14:solidFill>
          </w14:textFill>
        </w:rPr>
        <w:t>（三）国有资产占有使用情况</w:t>
      </w:r>
      <w:bookmarkEnd w:id="48"/>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截至2024年12月31日，攀枝花市发展和改革委员会共有车辆5辆，其中：主要负责人用车0辆、机要通信用车0辆、应急保障用车0辆、其他用车5辆，其他用车主要用于开展重大项目、共富试验区建设调研、粮食应急物资储备管理检查、安全生产督导检查等。单价100万元以上设备（不含车辆）0台（套）。</w:t>
      </w:r>
    </w:p>
    <w:p>
      <w:pPr>
        <w:ind w:firstLine="643" w:firstLineChars="200"/>
        <w:outlineLvl w:val="2"/>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（四）预算绩效管理情况</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根据预算绩效管理要求，市发展改革委在2024年度预算编制阶段，组织对办公室搬迁经费、入驻政务中心单位租金、物业费及水电费、信息系统维护费等3个项目开展了预算事前绩效评估，对3个项目编制了绩效目标，预算执行过程中，选取23个项目开展绩效监控。</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组织对2024年度一般公共预算、政府性基金预算、国有资本经营预算、社会保险基金预算以及资本资产、债券资金等全面开展绩效自评，形成市发展改革委部门整体（含部门预算项目）绩效自评报告、规划及重大</w:t>
      </w:r>
      <w:r>
        <w:rPr>
          <w:rFonts w:hint="eastAsia" w:eastAsia="仿宋_GB2312"/>
          <w:color w:val="000000" w:themeColor="text1"/>
          <w:sz w:val="32"/>
          <w:szCs w:val="32"/>
          <w14:textFill>
            <w14:solidFill>
              <w14:schemeClr w14:val="tx1"/>
            </w14:solidFill>
          </w14:textFill>
        </w:rPr>
        <w:t>项目</w:t>
      </w:r>
      <w:r>
        <w:rPr>
          <w:rFonts w:eastAsia="仿宋_GB2312"/>
          <w:color w:val="000000" w:themeColor="text1"/>
          <w:sz w:val="32"/>
          <w:szCs w:val="32"/>
          <w14:textFill>
            <w14:solidFill>
              <w14:schemeClr w14:val="tx1"/>
            </w14:solidFill>
          </w14:textFill>
        </w:rPr>
        <w:t>前期经费等专项预算项目绩效自评报告，其中，市发展改革委整体（含部门预算项目）绩效自评得分为94.84分，绩效自评综述：</w:t>
      </w:r>
    </w:p>
    <w:p>
      <w:pPr>
        <w:pStyle w:val="3"/>
        <w:spacing w:after="0"/>
        <w:ind w:left="0" w:leftChars="0" w:firstLine="640"/>
        <w:rPr>
          <w:rFonts w:ascii="Times New Roman" w:eastAsia="仿宋_GB2312"/>
          <w:color w:val="000000" w:themeColor="text1"/>
          <w:sz w:val="32"/>
          <w14:textFill>
            <w14:solidFill>
              <w14:schemeClr w14:val="tx1"/>
            </w14:solidFill>
          </w14:textFill>
        </w:rPr>
      </w:pPr>
      <w:r>
        <w:rPr>
          <w:rFonts w:ascii="Times New Roman" w:eastAsia="仿宋_GB2312"/>
          <w:color w:val="000000" w:themeColor="text1"/>
          <w:sz w:val="32"/>
          <w14:textFill>
            <w14:solidFill>
              <w14:schemeClr w14:val="tx1"/>
            </w14:solidFill>
          </w14:textFill>
        </w:rPr>
        <w:t>1.总体绩效65分，我委自评得分60.14分，由以下五部分构成：</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履职效能 统筹全市宏观经济运行履职效果、推进共同富裕试验区建设履职效果、推动能源行业综合平衡发展履职效果、畅通交通物流通道履职效果、推进重大项目建设履职效果等评价得分15分；</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预算管理  预算编制质量、单位收入统筹、支出执行进度、预算年终结余、严控一般性支出等评价得分22.34分；</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财务管理  财务管理制度、财务岗位设置、资金使用规范等评价得分10分；</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资产管理  人均资产变化率、资产利用率、资产盘活率等评价得分8.1分；</w:t>
      </w:r>
    </w:p>
    <w:p>
      <w:pPr>
        <w:ind w:firstLine="640"/>
        <w:rPr>
          <w:rFonts w:eastAsia="仿宋_GB2312"/>
          <w:b/>
          <w:bCs/>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采购管理  支持中小企业发展、采购执行率等评价得分4.7分；</w:t>
      </w:r>
    </w:p>
    <w:p>
      <w:pPr>
        <w:numPr>
          <w:ilvl w:val="0"/>
          <w:numId w:val="0"/>
        </w:num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2.项目绩效35分，我委自评得分34.7分，由以下三部分构成</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项目决策</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决策程序、目标设置、项目入库等评价得分12分；项目执行</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执行同向、项目调整、执行结果等评价得分12分；目标实现</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目标完成、目标偏离、实现效果等评价得分10.7分。</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专项预算项目14个，绩效自评得分为：攀枝花市地方政府储备粮监管信息化提档升级建设项目等10个项目100分；向上争取资金工作经费项目99.3分；规划及重大项目前期经费项目98分；攀枝花市粮食质量检验监测中心实验室改造项目95分；攀枝花市粮食质量检验监测中心实验室设备添置及运行项目94分。绩效自评综述、绩效自评报告详见附件。</w:t>
      </w:r>
    </w:p>
    <w:p>
      <w:pPr>
        <w:jc w:val="center"/>
        <w:outlineLvl w:val="0"/>
        <w:rPr>
          <w:rFonts w:eastAsia="黑体"/>
          <w:color w:val="000000" w:themeColor="text1"/>
          <w:sz w:val="44"/>
          <w:szCs w:val="44"/>
          <w14:textFill>
            <w14:solidFill>
              <w14:schemeClr w14:val="tx1"/>
            </w14:solidFill>
          </w14:textFill>
        </w:rPr>
      </w:pPr>
      <w:bookmarkStart w:id="49" w:name="_Toc15377225"/>
      <w:bookmarkStart w:id="50" w:name="_Toc15396613"/>
    </w:p>
    <w:p>
      <w:pPr>
        <w:jc w:val="center"/>
        <w:outlineLvl w:val="0"/>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第三部分  名词解释</w:t>
      </w:r>
      <w:bookmarkEnd w:id="49"/>
      <w:bookmarkEnd w:id="50"/>
    </w:p>
    <w:p>
      <w:pPr>
        <w:jc w:val="left"/>
        <w:rPr>
          <w:b/>
          <w:color w:val="000000" w:themeColor="text1"/>
          <w:sz w:val="44"/>
          <w:szCs w:val="44"/>
          <w14:textFill>
            <w14:solidFill>
              <w14:schemeClr w14:val="tx1"/>
            </w14:solidFill>
          </w14:textFill>
        </w:rPr>
      </w:pP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1.财政拨款收入：指单位从同级财政部门取得的财政预算资金。</w:t>
      </w:r>
    </w:p>
    <w:p>
      <w:pPr>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.其他收入：指单位取得的除上述收入以外的各项收入。</w:t>
      </w:r>
    </w:p>
    <w:p>
      <w:pPr>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 xml:space="preserve">.年初结转和结余：指以前年度尚未完成、结转到本年按有关规定继续使用的资金。 </w:t>
      </w:r>
    </w:p>
    <w:p>
      <w:pPr>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.年末结转和结余：指单位按有关规定结转到下年或以后年度继续使用的资金。</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一般公共服务（类）发展与改革事务（款）行政运行（项）：指行政单位（包括实行公务员管理的事业单位）的基本支出。</w:t>
      </w:r>
    </w:p>
    <w:p>
      <w:pPr>
        <w:pStyle w:val="3"/>
        <w:ind w:left="0" w:leftChars="0" w:firstLine="640" w:firstLineChars="200"/>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一般公共服务（类）发展与改革事务（款）事业运行（项）：指事业单位的基本支出。</w:t>
      </w:r>
    </w:p>
    <w:p>
      <w:pPr>
        <w:pStyle w:val="3"/>
        <w:ind w:left="0" w:leftChars="0" w:firstLine="640" w:firstLineChars="200"/>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一般公共服务（类）发展与改革事务（款）其他发展与改革事务支出（项）：指除上述项目以外的其他发展与改革事务支出。</w:t>
      </w:r>
    </w:p>
    <w:p>
      <w:pPr>
        <w:pStyle w:val="3"/>
        <w:ind w:left="0" w:leftChars="0" w:firstLine="640" w:firstLineChars="200"/>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一般公共服务（类）纪检监察事务（款）派驻派出机构（项）：指由纪检监察部门负担的派驻各部门和单位的纪检</w:t>
      </w:r>
      <w:r>
        <w:rPr>
          <w:rFonts w:hint="eastAsia" w:eastAsia="仿宋_GB2312"/>
          <w:color w:val="000000" w:themeColor="text1"/>
          <w:sz w:val="32"/>
          <w:lang w:eastAsia="zh-CN"/>
          <w14:textFill>
            <w14:solidFill>
              <w14:schemeClr w14:val="tx1"/>
            </w14:solidFill>
          </w14:textFill>
        </w:rPr>
        <w:t>监</w:t>
      </w:r>
      <w:r>
        <w:rPr>
          <w:rFonts w:hint="eastAsia" w:eastAsia="仿宋_GB2312"/>
          <w:color w:val="000000" w:themeColor="text1"/>
          <w:sz w:val="32"/>
          <w14:textFill>
            <w14:solidFill>
              <w14:schemeClr w14:val="tx1"/>
            </w14:solidFill>
          </w14:textFill>
        </w:rPr>
        <w:t>察人员的专项业务支出。</w:t>
      </w:r>
    </w:p>
    <w:p>
      <w:pPr>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14:textFill>
            <w14:solidFill>
              <w14:schemeClr w14:val="tx1"/>
            </w14:solidFill>
          </w14:textFill>
        </w:rPr>
        <w:t>一般公共服务（类）组织事务（款）其他组织事务支出（项）：指其他用于中国共产党组织部门的事务支出。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6.</w:t>
      </w:r>
      <w:bookmarkStart w:id="71" w:name="_GoBack"/>
      <w:bookmarkEnd w:id="71"/>
      <w:r>
        <w:rPr>
          <w:rFonts w:hint="eastAsia" w:ascii="仿宋_GB2312" w:eastAsia="仿宋_GB2312"/>
          <w:color w:val="000000" w:themeColor="text1"/>
          <w:sz w:val="32"/>
          <w:szCs w:val="32"/>
          <w14:textFill>
            <w14:solidFill>
              <w14:schemeClr w14:val="tx1"/>
            </w14:solidFill>
          </w14:textFill>
        </w:rPr>
        <w:t>社会保障和就业（类）人力资源和社会保障管理事务（款）其他人力资源和社会保障管理事务支出（项）：指其他用于人力资源和社会保障管理事务方面的支出。</w:t>
      </w:r>
    </w:p>
    <w:p>
      <w:pPr>
        <w:pStyle w:val="3"/>
        <w:ind w:left="0" w:leftChars="0" w:firstLine="640"/>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社会保障和就业（类）行政事业单位养老支出（款）行政单位离退休（项）：指行政单位（包括实行公务员管理的事业单位）开支的离退休经费。</w:t>
      </w:r>
    </w:p>
    <w:p>
      <w:pPr>
        <w:pStyle w:val="3"/>
        <w:ind w:left="0" w:leftChars="0" w:firstLine="640"/>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社会保障和就业（类）行政事业单位养老支出（款）机关事业单位基本养老保险缴费支出（项）：指机关事业单位实施养老保险制度由单位缴纳的基本养老保险费支出。</w:t>
      </w:r>
    </w:p>
    <w:p>
      <w:pPr>
        <w:pStyle w:val="3"/>
        <w:ind w:left="0" w:leftChars="0" w:firstLine="640"/>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社会保障和就业（类）行政事业单位养老支出（款）机关事业单位职业年金缴费支出（项）：指机关事业单位实施养老保险制度由单位实际缴纳的职业年金支出。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社会保障和就业（类）社会福利（款）儿童福利（项）：指对儿童提供福利服务方面的支出。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7</w:t>
      </w:r>
      <w:r>
        <w:rPr>
          <w:rFonts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卫生健康（类）行政事业单位医疗（款）行政单位医疗（项）：指财政部门安排的行政单位（包括实行公务员管理的事业单位，下同）基本医疗保险缴费经费，未参加医疗保险的行政单位的公费医疗经费，按国家规定享受离休人员、红军老战士待遇人员的医疗经费。</w:t>
      </w:r>
    </w:p>
    <w:p>
      <w:pPr>
        <w:pStyle w:val="3"/>
        <w:ind w:left="0" w:leftChars="0" w:firstLine="640"/>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卫生健康（类）行政事业单位医疗（款）事业单位医疗（项）：指财政部门安排的事业单位基本医疗保险缴费经费，未参加医疗保险的事业单位的公费医疗经费，按国家规定享受离休人员待遇的医疗经费。</w:t>
      </w:r>
    </w:p>
    <w:p>
      <w:pPr>
        <w:pStyle w:val="3"/>
        <w:ind w:left="0" w:leftChars="0" w:firstLine="640"/>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卫生健康（类）行政事业单位医疗（款）其他行政事业单位医疗支出（项）：指其他用于行政事业单位医疗方面的支出。</w:t>
      </w:r>
    </w:p>
    <w:p>
      <w:pPr>
        <w:pStyle w:val="3"/>
        <w:ind w:left="0" w:leftChars="0" w:firstLine="640"/>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卫生健康（类）其他卫生健康支出（款）其他卫生健康支出（项）：指其他用于卫生健康方面的支出。</w:t>
      </w:r>
    </w:p>
    <w:p>
      <w:pPr>
        <w:ind w:firstLine="640"/>
        <w:rPr>
          <w:rFonts w:hint="eastAsia"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8</w:t>
      </w:r>
      <w:r>
        <w:rPr>
          <w:rFonts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住房保障（类）住房改革支出（款）住房公积金（项）：指行政事业单位按人力资源和社会保障部、财政部规定的基本工资和津贴补贴以及规定比例为职工缴纳的住房公积金。</w:t>
      </w:r>
    </w:p>
    <w:p>
      <w:pPr>
        <w:ind w:firstLine="640"/>
        <w:rPr>
          <w:rFonts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其他（类）其他支出（款）其他支出（项）：指除上述项目以外其他不能划分到具体功能科目中的支出项目。</w:t>
      </w:r>
    </w:p>
    <w:p>
      <w:pPr>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.基本支出：指为保障机构正常运转、完成日常工作任务而发生的人员支出和公用支出。</w:t>
      </w:r>
    </w:p>
    <w:p>
      <w:pPr>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11</w:t>
      </w:r>
      <w:r>
        <w:rPr>
          <w:rFonts w:eastAsia="仿宋_GB2312"/>
          <w:color w:val="000000" w:themeColor="text1"/>
          <w:sz w:val="32"/>
          <w:szCs w:val="32"/>
          <w14:textFill>
            <w14:solidFill>
              <w14:schemeClr w14:val="tx1"/>
            </w14:solidFill>
          </w14:textFill>
        </w:rPr>
        <w:t xml:space="preserve">.项目支出：指在基本支出之外为完成特定行政任务和事业发展目标所发生的支出。 </w:t>
      </w:r>
    </w:p>
    <w:p>
      <w:pPr>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12</w:t>
      </w:r>
      <w:r>
        <w:rPr>
          <w:rFonts w:eastAsia="仿宋_GB2312"/>
          <w:color w:val="000000" w:themeColor="text1"/>
          <w:sz w:val="32"/>
          <w:szCs w:val="32"/>
          <w14:textFill>
            <w14:solidFill>
              <w14:schemeClr w14:val="tx1"/>
            </w14:solidFill>
          </w14:textFill>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13</w:t>
      </w:r>
      <w:r>
        <w:rPr>
          <w:rFonts w:eastAsia="仿宋_GB2312"/>
          <w:color w:val="000000" w:themeColor="text1"/>
          <w:sz w:val="32"/>
          <w:szCs w:val="32"/>
          <w14:textFill>
            <w14:solidFill>
              <w14:schemeClr w14:val="tx1"/>
            </w14:solidFill>
          </w14:textFill>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Style w:val="28"/>
          <w:rFonts w:eastAsia="黑体"/>
          <w:b w:val="0"/>
          <w:color w:val="000000" w:themeColor="text1"/>
          <w14:textFill>
            <w14:solidFill>
              <w14:schemeClr w14:val="tx1"/>
            </w14:solidFill>
          </w14:textFill>
        </w:rPr>
      </w:pPr>
      <w:bookmarkStart w:id="51" w:name="_Toc15377226"/>
      <w:r>
        <w:rPr>
          <w:rFonts w:eastAsia="仿宋_GB2312" w:cs="仿宋_GB2312"/>
          <w:color w:val="000000" w:themeColor="text1"/>
          <w:sz w:val="32"/>
          <w:szCs w:val="32"/>
          <w14:textFill>
            <w14:solidFill>
              <w14:schemeClr w14:val="tx1"/>
            </w14:solidFill>
          </w14:textFill>
        </w:rPr>
        <w:br w:type="page"/>
      </w:r>
      <w:bookmarkStart w:id="52" w:name="_Toc15396614"/>
      <w:r>
        <w:rPr>
          <w:rFonts w:hint="eastAsia" w:eastAsia="黑体"/>
          <w:color w:val="000000" w:themeColor="text1"/>
          <w:sz w:val="44"/>
          <w:szCs w:val="44"/>
          <w14:textFill>
            <w14:solidFill>
              <w14:schemeClr w14:val="tx1"/>
            </w14:solidFill>
          </w14:textFill>
        </w:rPr>
        <w:t>第四部分  附件</w:t>
      </w:r>
      <w:bookmarkEnd w:id="52"/>
    </w:p>
    <w:p>
      <w:pPr>
        <w:jc w:val="left"/>
        <w:outlineLvl w:val="0"/>
        <w:rPr>
          <w:rFonts w:eastAsia="黑体" w:cs="黑体"/>
          <w:color w:val="000000" w:themeColor="text1"/>
          <w:sz w:val="32"/>
          <w:szCs w:val="32"/>
          <w14:textFill>
            <w14:solidFill>
              <w14:schemeClr w14:val="tx1"/>
            </w14:solidFill>
          </w14:textFill>
        </w:rPr>
      </w:pPr>
    </w:p>
    <w:p>
      <w:pPr>
        <w:jc w:val="left"/>
        <w:outlineLvl w:val="0"/>
        <w:rPr>
          <w:rFonts w:eastAsia="黑体" w:cs="方正小标宋简体"/>
          <w:color w:val="000000" w:themeColor="text1"/>
          <w:sz w:val="44"/>
          <w:szCs w:val="44"/>
          <w14:textFill>
            <w14:solidFill>
              <w14:schemeClr w14:val="tx1"/>
            </w14:solidFill>
          </w14:textFill>
        </w:rPr>
      </w:pPr>
      <w:r>
        <w:rPr>
          <w:rFonts w:hint="eastAsia" w:eastAsia="黑体" w:cs="黑体"/>
          <w:color w:val="000000" w:themeColor="text1"/>
          <w:sz w:val="32"/>
          <w:szCs w:val="32"/>
          <w14:textFill>
            <w14:solidFill>
              <w14:schemeClr w14:val="tx1"/>
            </w14:solidFill>
          </w14:textFill>
        </w:rPr>
        <w:t>附件1</w:t>
      </w:r>
    </w:p>
    <w:p>
      <w:pPr>
        <w:widowControl/>
        <w:contextualSpacing/>
        <w:jc w:val="center"/>
        <w:rPr>
          <w:rFonts w:eastAsia="方正小标宋简体"/>
          <w:bCs/>
          <w:color w:val="000000" w:themeColor="text1"/>
          <w:sz w:val="44"/>
          <w:szCs w:val="44"/>
          <w:shd w:val="clear" w:color="auto" w:fill="FFFFFF"/>
          <w14:textFill>
            <w14:solidFill>
              <w14:schemeClr w14:val="tx1"/>
            </w14:solidFill>
          </w14:textFill>
        </w:rPr>
      </w:pPr>
    </w:p>
    <w:p>
      <w:pPr>
        <w:widowControl/>
        <w:contextualSpacing/>
        <w:jc w:val="center"/>
        <w:rPr>
          <w:rFonts w:eastAsia="方正小标宋简体"/>
          <w:bCs/>
          <w:color w:val="000000" w:themeColor="text1"/>
          <w:sz w:val="44"/>
          <w:szCs w:val="44"/>
          <w:shd w:val="clear" w:color="auto" w:fill="FFFFFF"/>
          <w14:textFill>
            <w14:solidFill>
              <w14:schemeClr w14:val="tx1"/>
            </w14:solidFill>
          </w14:textFill>
        </w:rPr>
      </w:pPr>
      <w:r>
        <w:rPr>
          <w:rFonts w:hint="eastAsia" w:eastAsia="方正小标宋简体"/>
          <w:bCs/>
          <w:color w:val="000000" w:themeColor="text1"/>
          <w:sz w:val="44"/>
          <w:szCs w:val="44"/>
          <w:shd w:val="clear" w:color="auto" w:fill="FFFFFF"/>
          <w14:textFill>
            <w14:solidFill>
              <w14:schemeClr w14:val="tx1"/>
            </w14:solidFill>
          </w14:textFill>
        </w:rPr>
        <w:t>攀枝花市发展和改革委员会</w:t>
      </w:r>
    </w:p>
    <w:p>
      <w:pPr>
        <w:widowControl/>
        <w:contextualSpacing/>
        <w:jc w:val="center"/>
        <w:rPr>
          <w:rFonts w:eastAsia="方正小标宋简体"/>
          <w:bCs/>
          <w:color w:val="000000" w:themeColor="text1"/>
          <w:sz w:val="44"/>
          <w:szCs w:val="44"/>
          <w:shd w:val="clear" w:color="auto" w:fill="FFFFFF"/>
          <w14:textFill>
            <w14:solidFill>
              <w14:schemeClr w14:val="tx1"/>
            </w14:solidFill>
          </w14:textFill>
        </w:rPr>
      </w:pPr>
      <w:r>
        <w:rPr>
          <w:rFonts w:eastAsia="方正小标宋简体"/>
          <w:bCs/>
          <w:color w:val="000000" w:themeColor="text1"/>
          <w:sz w:val="44"/>
          <w:szCs w:val="44"/>
          <w:shd w:val="clear" w:color="auto" w:fill="FFFFFF"/>
          <w14:textFill>
            <w14:solidFill>
              <w14:schemeClr w14:val="tx1"/>
            </w14:solidFill>
          </w14:textFill>
        </w:rPr>
        <w:t>预算绩效评价报告</w:t>
      </w:r>
    </w:p>
    <w:p>
      <w:pPr>
        <w:widowControl/>
        <w:adjustRightInd w:val="0"/>
        <w:snapToGrid w:val="0"/>
        <w:ind w:firstLine="480" w:firstLineChars="200"/>
        <w:contextualSpacing/>
        <w:rPr>
          <w:rFonts w:eastAsia="黑体"/>
          <w:color w:val="000000" w:themeColor="text1"/>
          <w:kern w:val="0"/>
          <w:sz w:val="24"/>
          <w:szCs w:val="32"/>
          <w:shd w:val="clear" w:color="auto" w:fill="FFFFFF"/>
          <w14:textFill>
            <w14:solidFill>
              <w14:schemeClr w14:val="tx1"/>
            </w14:solidFill>
          </w14:textFill>
        </w:rPr>
      </w:pPr>
    </w:p>
    <w:p>
      <w:pPr>
        <w:widowControl/>
        <w:adjustRightInd w:val="0"/>
        <w:snapToGrid w:val="0"/>
        <w:spacing w:line="600" w:lineRule="exact"/>
        <w:ind w:firstLine="640" w:firstLineChars="200"/>
        <w:contextualSpacing/>
        <w:rPr>
          <w:rFonts w:eastAsia="黑体"/>
          <w:color w:val="000000" w:themeColor="text1"/>
          <w:kern w:val="0"/>
          <w:sz w:val="32"/>
          <w:szCs w:val="32"/>
          <w:shd w:val="clear" w:color="auto" w:fill="FFFFFF"/>
          <w:lang w:val="zh-CN"/>
          <w14:textFill>
            <w14:solidFill>
              <w14:schemeClr w14:val="tx1"/>
            </w14:solidFill>
          </w14:textFill>
        </w:rPr>
      </w:pPr>
      <w:r>
        <w:rPr>
          <w:rFonts w:eastAsia="黑体"/>
          <w:color w:val="000000" w:themeColor="text1"/>
          <w:kern w:val="0"/>
          <w:sz w:val="32"/>
          <w:szCs w:val="32"/>
          <w:shd w:val="clear" w:color="auto" w:fill="FFFFFF"/>
          <w:lang w:val="zh-CN"/>
          <w14:textFill>
            <w14:solidFill>
              <w14:schemeClr w14:val="tx1"/>
            </w14:solidFill>
          </w14:textFill>
        </w:rPr>
        <w:t>一、部门（单位）基本情况</w:t>
      </w:r>
    </w:p>
    <w:p>
      <w:pPr>
        <w:widowControl/>
        <w:adjustRightInd w:val="0"/>
        <w:snapToGrid w:val="0"/>
        <w:spacing w:line="600" w:lineRule="exact"/>
        <w:ind w:firstLine="643" w:firstLineChars="200"/>
        <w:contextualSpacing/>
        <w:rPr>
          <w:rFonts w:eastAsia="楷体_GB2312"/>
          <w:b/>
          <w:color w:val="000000" w:themeColor="text1"/>
          <w:sz w:val="32"/>
          <w:szCs w:val="32"/>
          <w:lang w:val="zh-CN"/>
          <w14:textFill>
            <w14:solidFill>
              <w14:schemeClr w14:val="tx1"/>
            </w14:solidFill>
          </w14:textFill>
        </w:rPr>
      </w:pPr>
      <w:r>
        <w:rPr>
          <w:rFonts w:eastAsia="楷体_GB2312"/>
          <w:b/>
          <w:color w:val="000000" w:themeColor="text1"/>
          <w:sz w:val="32"/>
          <w:szCs w:val="32"/>
          <w:lang w:val="zh-CN"/>
          <w14:textFill>
            <w14:solidFill>
              <w14:schemeClr w14:val="tx1"/>
            </w14:solidFill>
          </w14:textFill>
        </w:rPr>
        <w:t>（一）机构组成。</w:t>
      </w:r>
    </w:p>
    <w:p>
      <w:pPr>
        <w:widowControl/>
        <w:adjustRightInd w:val="0"/>
        <w:snapToGrid w:val="0"/>
        <w:spacing w:line="600" w:lineRule="exact"/>
        <w:ind w:firstLine="640" w:firstLineChars="200"/>
        <w:contextualSpacing/>
        <w:rPr>
          <w:color w:val="000000" w:themeColor="text1"/>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市发展改革委</w:t>
      </w:r>
      <w:r>
        <w:rPr>
          <w:rFonts w:eastAsia="仿宋_GB2312"/>
          <w:color w:val="000000" w:themeColor="text1"/>
          <w:sz w:val="32"/>
          <w:szCs w:val="32"/>
          <w14:textFill>
            <w14:solidFill>
              <w14:schemeClr w14:val="tx1"/>
            </w14:solidFill>
          </w14:textFill>
        </w:rPr>
        <w:t>内设</w:t>
      </w:r>
      <w:r>
        <w:rPr>
          <w:rFonts w:hint="eastAsia" w:eastAsia="仿宋_GB2312"/>
          <w:color w:val="000000" w:themeColor="text1"/>
          <w:sz w:val="32"/>
          <w:szCs w:val="32"/>
          <w14:textFill>
            <w14:solidFill>
              <w14:schemeClr w14:val="tx1"/>
            </w14:solidFill>
          </w14:textFill>
        </w:rPr>
        <w:t>25个科</w:t>
      </w:r>
      <w:r>
        <w:rPr>
          <w:rFonts w:eastAsia="仿宋_GB2312"/>
          <w:color w:val="000000" w:themeColor="text1"/>
          <w:sz w:val="32"/>
          <w:szCs w:val="32"/>
          <w14:textFill>
            <w14:solidFill>
              <w14:schemeClr w14:val="tx1"/>
            </w14:solidFill>
          </w14:textFill>
        </w:rPr>
        <w:t>室及</w:t>
      </w:r>
      <w:r>
        <w:rPr>
          <w:rFonts w:hint="eastAsia" w:eastAsia="仿宋_GB2312"/>
          <w:color w:val="000000" w:themeColor="text1"/>
          <w:sz w:val="32"/>
          <w:szCs w:val="32"/>
          <w14:textFill>
            <w14:solidFill>
              <w14:schemeClr w14:val="tx1"/>
            </w14:solidFill>
          </w14:textFill>
        </w:rPr>
        <w:t>4个</w:t>
      </w:r>
      <w:r>
        <w:rPr>
          <w:rFonts w:eastAsia="仿宋_GB2312"/>
          <w:color w:val="000000" w:themeColor="text1"/>
          <w:sz w:val="32"/>
          <w:szCs w:val="32"/>
          <w14:textFill>
            <w14:solidFill>
              <w14:schemeClr w14:val="tx1"/>
            </w14:solidFill>
          </w14:textFill>
        </w:rPr>
        <w:t>下属</w:t>
      </w:r>
      <w:r>
        <w:rPr>
          <w:rFonts w:hint="eastAsia" w:eastAsia="仿宋_GB2312"/>
          <w:color w:val="000000" w:themeColor="text1"/>
          <w:sz w:val="32"/>
          <w:szCs w:val="32"/>
          <w14:textFill>
            <w14:solidFill>
              <w14:schemeClr w14:val="tx1"/>
            </w14:solidFill>
          </w14:textFill>
        </w:rPr>
        <w:t>事业</w:t>
      </w:r>
      <w:r>
        <w:rPr>
          <w:rFonts w:eastAsia="仿宋_GB2312"/>
          <w:color w:val="000000" w:themeColor="text1"/>
          <w:sz w:val="32"/>
          <w:szCs w:val="32"/>
          <w14:textFill>
            <w14:solidFill>
              <w14:schemeClr w14:val="tx1"/>
            </w14:solidFill>
          </w14:textFill>
        </w:rPr>
        <w:t>单位。</w:t>
      </w:r>
    </w:p>
    <w:p>
      <w:pPr>
        <w:widowControl/>
        <w:numPr>
          <w:ilvl w:val="0"/>
          <w:numId w:val="3"/>
        </w:numPr>
        <w:adjustRightInd w:val="0"/>
        <w:snapToGrid w:val="0"/>
        <w:spacing w:line="600" w:lineRule="exact"/>
        <w:ind w:firstLine="643" w:firstLineChars="200"/>
        <w:contextualSpacing/>
        <w:rPr>
          <w:rFonts w:eastAsia="楷体_GB2312"/>
          <w:b/>
          <w:color w:val="000000" w:themeColor="text1"/>
          <w:sz w:val="32"/>
          <w:szCs w:val="32"/>
          <w:lang w:val="zh-CN"/>
          <w14:textFill>
            <w14:solidFill>
              <w14:schemeClr w14:val="tx1"/>
            </w14:solidFill>
          </w14:textFill>
        </w:rPr>
      </w:pPr>
      <w:r>
        <w:rPr>
          <w:rFonts w:eastAsia="楷体_GB2312"/>
          <w:b/>
          <w:color w:val="000000" w:themeColor="text1"/>
          <w:sz w:val="32"/>
          <w:szCs w:val="32"/>
          <w:lang w:val="zh-CN"/>
          <w14:textFill>
            <w14:solidFill>
              <w14:schemeClr w14:val="tx1"/>
            </w14:solidFill>
          </w14:textFill>
        </w:rPr>
        <w:t>机构职能。</w:t>
      </w:r>
    </w:p>
    <w:p>
      <w:pPr>
        <w:numPr>
          <w:ilvl w:val="255"/>
          <w:numId w:val="0"/>
        </w:numPr>
        <w:spacing w:line="600" w:lineRule="exact"/>
        <w:ind w:firstLine="640" w:firstLineChars="200"/>
        <w:rPr>
          <w:color w:val="000000" w:themeColor="text1"/>
          <w14:textFill>
            <w14:solidFill>
              <w14:schemeClr w14:val="tx1"/>
            </w14:solidFill>
          </w14:textFill>
        </w:rPr>
      </w:pPr>
      <w:r>
        <w:rPr>
          <w:rFonts w:eastAsia="仿宋_GB2312"/>
          <w:color w:val="000000" w:themeColor="text1"/>
          <w:sz w:val="32"/>
          <w:szCs w:val="32"/>
          <w14:textFill>
            <w14:solidFill>
              <w14:schemeClr w14:val="tx1"/>
            </w14:solidFill>
          </w14:textFill>
        </w:rPr>
        <w:t>贯彻执行国家有关国民经济和社会发展、经济体制改革的方针、政策和法律、法规；负责汇总分析全市财政、金融等方面情况，参与拟订财政、金融、土地政策；承担指导推进和综合协调全市经济体制改革的责任，研究经济体制改革和对外开放的重大问题及对策；贯彻执行国家和省价格法律、法规和方针、政策，编制和执行价格调整改革规划，组织实施年度价格总水平调控目标及价格调控措施；负责全市投资宏观管理和协调推进重大项目建设，拟订全社会固定资产投资总规模和投资结构的调控目标等；推进经济结构战略性调整。组织拟订全市综合性产业政策，推进重大科技成果产业化；促进城乡区域协调发展，研究分析区域经济和城镇化发展情况；负责重要商品总量平衡和宏观调控，研究分析市内外市场和对外贸易运行情况；负责全市社会发展与国民经济发展的政策衔接，组织拟订社会发展战略、中长期规划和年度计划，受市政府委托向市人大提交国民经济和社会发展计划报告等；推进可持续发展战略，负责全市节能减排的综合协调工作；研究提出全市能源发展战略和政策措施，拟订全市能源发展规划并提出相关体制改革建议；负责指导和协调全市招标投标工作；负责全市铁路建设项目前期工作，组织协调铁路建设工作中的征地拆迁和重大问题；贯彻执行国家、省以工代赈政策，促进民族地区经济社会持续、稳定、协调发展；承担市资源开发委员会（市实施西部大开发领导小组）的具体工作；承担市政府公布的有关行政审批事项；承办市政府交办的其他事项。</w:t>
      </w:r>
    </w:p>
    <w:p>
      <w:pPr>
        <w:widowControl/>
        <w:numPr>
          <w:ilvl w:val="0"/>
          <w:numId w:val="3"/>
        </w:numPr>
        <w:adjustRightInd w:val="0"/>
        <w:snapToGrid w:val="0"/>
        <w:spacing w:line="600" w:lineRule="exact"/>
        <w:ind w:firstLine="643" w:firstLineChars="200"/>
        <w:contextualSpacing/>
        <w:rPr>
          <w:rFonts w:eastAsia="仿宋_GB2312"/>
          <w:color w:val="000000" w:themeColor="text1"/>
          <w:sz w:val="32"/>
          <w:szCs w:val="32"/>
          <w14:textFill>
            <w14:solidFill>
              <w14:schemeClr w14:val="tx1"/>
            </w14:solidFill>
          </w14:textFill>
        </w:rPr>
      </w:pPr>
      <w:r>
        <w:rPr>
          <w:rFonts w:eastAsia="楷体_GB2312"/>
          <w:b/>
          <w:bCs/>
          <w:color w:val="000000" w:themeColor="text1"/>
          <w:kern w:val="0"/>
          <w:sz w:val="32"/>
          <w:szCs w:val="32"/>
          <w:shd w:val="clear" w:color="auto" w:fill="FFFFFF"/>
          <w:lang w:val="zh-CN"/>
          <w14:textFill>
            <w14:solidFill>
              <w14:schemeClr w14:val="tx1"/>
            </w14:solidFill>
          </w14:textFill>
        </w:rPr>
        <w:t>人员概况。</w:t>
      </w:r>
    </w:p>
    <w:p>
      <w:pPr>
        <w:widowControl/>
        <w:numPr>
          <w:ilvl w:val="255"/>
          <w:numId w:val="0"/>
        </w:numPr>
        <w:adjustRightInd w:val="0"/>
        <w:snapToGrid w:val="0"/>
        <w:spacing w:line="600" w:lineRule="exact"/>
        <w:ind w:firstLine="640" w:firstLineChars="200"/>
        <w:contextualSpacing/>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截至2024年末市发展改革委行政编制70名，机关后勤服务人员控制数11名。2024年底，我委实际在编54人</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机关后勤服务人员8人（86号文占编聘用人员3人）。</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委属事业单位机构编制情况。事业编制共计40名。2024年底，在编37人</w:t>
      </w:r>
      <w:r>
        <w:rPr>
          <w:rFonts w:hint="eastAsia" w:eastAsia="仿宋_GB2312"/>
          <w:color w:val="000000" w:themeColor="text1"/>
          <w:sz w:val="32"/>
          <w:szCs w:val="32"/>
          <w14:textFill>
            <w14:solidFill>
              <w14:schemeClr w14:val="tx1"/>
            </w14:solidFill>
          </w14:textFill>
        </w:rPr>
        <w:t>。</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3.退休人员90人；</w:t>
      </w:r>
    </w:p>
    <w:p>
      <w:pPr>
        <w:widowControl/>
        <w:adjustRightInd w:val="0"/>
        <w:snapToGrid w:val="0"/>
        <w:spacing w:line="600" w:lineRule="exact"/>
        <w:ind w:firstLine="640" w:firstLineChars="200"/>
        <w:contextualSpacing/>
        <w:rPr>
          <w:color w:val="000000" w:themeColor="text1"/>
          <w14:textFill>
            <w14:solidFill>
              <w14:schemeClr w14:val="tx1"/>
            </w14:solidFill>
          </w14:textFill>
        </w:rPr>
      </w:pPr>
      <w:r>
        <w:rPr>
          <w:rFonts w:hint="eastAsia" w:eastAsia="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根据工作需要自聘人员3人。</w:t>
      </w:r>
    </w:p>
    <w:p>
      <w:pPr>
        <w:widowControl/>
        <w:adjustRightInd w:val="0"/>
        <w:snapToGrid w:val="0"/>
        <w:spacing w:line="600" w:lineRule="exact"/>
        <w:ind w:firstLine="640" w:firstLineChars="200"/>
        <w:contextualSpacing/>
        <w:rPr>
          <w:rFonts w:eastAsia="黑体"/>
          <w:color w:val="000000" w:themeColor="text1"/>
          <w:kern w:val="0"/>
          <w:sz w:val="32"/>
          <w:szCs w:val="32"/>
          <w:shd w:val="clear" w:color="auto" w:fill="FFFFFF"/>
          <w:lang w:val="zh-CN"/>
          <w14:textFill>
            <w14:solidFill>
              <w14:schemeClr w14:val="tx1"/>
            </w14:solidFill>
          </w14:textFill>
        </w:rPr>
      </w:pPr>
      <w:r>
        <w:rPr>
          <w:rFonts w:eastAsia="黑体"/>
          <w:color w:val="000000" w:themeColor="text1"/>
          <w:kern w:val="0"/>
          <w:sz w:val="32"/>
          <w:szCs w:val="32"/>
          <w:shd w:val="clear" w:color="auto" w:fill="FFFFFF"/>
          <w:lang w:val="zh-CN"/>
          <w14:textFill>
            <w14:solidFill>
              <w14:schemeClr w14:val="tx1"/>
            </w14:solidFill>
          </w14:textFill>
        </w:rPr>
        <w:t>二、部门资金收支情况</w:t>
      </w:r>
    </w:p>
    <w:p>
      <w:pPr>
        <w:widowControl/>
        <w:adjustRightInd w:val="0"/>
        <w:snapToGrid w:val="0"/>
        <w:spacing w:line="600" w:lineRule="exact"/>
        <w:ind w:firstLine="643" w:firstLineChars="200"/>
        <w:contextualSpacing/>
        <w:rPr>
          <w:rFonts w:eastAsia="楷体_GB2312"/>
          <w:b/>
          <w:bCs/>
          <w:color w:val="000000" w:themeColor="text1"/>
          <w:kern w:val="0"/>
          <w:sz w:val="32"/>
          <w:szCs w:val="32"/>
          <w:shd w:val="clear" w:color="auto" w:fill="FFFFFF"/>
          <w:lang w:val="zh-CN"/>
          <w14:textFill>
            <w14:solidFill>
              <w14:schemeClr w14:val="tx1"/>
            </w14:solidFill>
          </w14:textFill>
        </w:rPr>
      </w:pPr>
      <w:r>
        <w:rPr>
          <w:rFonts w:eastAsia="楷体_GB2312"/>
          <w:b/>
          <w:bCs/>
          <w:color w:val="000000" w:themeColor="text1"/>
          <w:kern w:val="0"/>
          <w:sz w:val="32"/>
          <w:szCs w:val="32"/>
          <w:shd w:val="clear" w:color="auto" w:fill="FFFFFF"/>
          <w:lang w:val="zh-CN"/>
          <w14:textFill>
            <w14:solidFill>
              <w14:schemeClr w14:val="tx1"/>
            </w14:solidFill>
          </w14:textFill>
        </w:rPr>
        <w:t>（一）收入情况。</w:t>
      </w:r>
    </w:p>
    <w:p>
      <w:pPr>
        <w:widowControl/>
        <w:adjustRightInd w:val="0"/>
        <w:snapToGrid w:val="0"/>
        <w:spacing w:line="60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财政拨款年初预算收入2458.46万元，其中一般公共服务支出1686.24万元，社会保障和就业支出489.71万元，卫生健康支出124.89万元，住房保障支出157.62万元，2024年年初财政拨款主要是保障部门正常运转、完成日常工作任务而发生的各项支出，突出财政资金保工资、保运转、保民生的“三保”特点，其中一般公共服务支出占比较大，占年初预算收入的68.59%。</w:t>
      </w:r>
    </w:p>
    <w:p>
      <w:pPr>
        <w:widowControl/>
        <w:adjustRightInd w:val="0"/>
        <w:snapToGrid w:val="0"/>
        <w:spacing w:line="60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2024年部门决算全年财政拨款收入3172.65万元，其中基本支出2573.12万元，占财政拨款收入的81.10%，项目经费支出599.54万元，占财政拨款收入的18.90%。</w:t>
      </w:r>
    </w:p>
    <w:p>
      <w:pPr>
        <w:widowControl/>
        <w:numPr>
          <w:ilvl w:val="0"/>
          <w:numId w:val="4"/>
        </w:numPr>
        <w:adjustRightInd w:val="0"/>
        <w:snapToGrid w:val="0"/>
        <w:spacing w:line="600" w:lineRule="exact"/>
        <w:ind w:firstLine="643"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eastAsia="楷体_GB2312"/>
          <w:b/>
          <w:bCs/>
          <w:color w:val="000000" w:themeColor="text1"/>
          <w:kern w:val="0"/>
          <w:sz w:val="32"/>
          <w:szCs w:val="32"/>
          <w:shd w:val="clear" w:color="auto" w:fill="FFFFFF"/>
          <w:lang w:val="zh-CN"/>
          <w14:textFill>
            <w14:solidFill>
              <w14:schemeClr w14:val="tx1"/>
            </w14:solidFill>
          </w14:textFill>
        </w:rPr>
        <w:t>支出情况。</w:t>
      </w:r>
    </w:p>
    <w:p>
      <w:pPr>
        <w:widowControl/>
        <w:numPr>
          <w:ilvl w:val="255"/>
          <w:numId w:val="0"/>
        </w:numPr>
        <w:adjustRightInd w:val="0"/>
        <w:snapToGrid w:val="0"/>
        <w:spacing w:line="600" w:lineRule="exact"/>
        <w:ind w:firstLine="960" w:firstLineChars="3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2024年年初预算支出2458.46万元。其中：基本支出2367.01万（人员经费支出2077.11万元，日常公用经费支出289.90万元）；项目支出91.45万元。</w:t>
      </w:r>
    </w:p>
    <w:p>
      <w:pPr>
        <w:widowControl/>
        <w:numPr>
          <w:ilvl w:val="255"/>
          <w:numId w:val="0"/>
        </w:numPr>
        <w:adjustRightInd w:val="0"/>
        <w:snapToGrid w:val="0"/>
        <w:spacing w:line="600" w:lineRule="exact"/>
        <w:ind w:firstLine="960" w:firstLineChars="3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2024年部门决算全年财政拨款支出3172.65万元，其中：基本支出2573.12万元，占财政拨款收入的81.10%，（人员经费支出2313.10万元，日常公用经费支出260.01万元），项目经费支出599.54万元，占财政拨款收入的18.90%。</w:t>
      </w:r>
    </w:p>
    <w:p>
      <w:pPr>
        <w:widowControl/>
        <w:adjustRightInd w:val="0"/>
        <w:snapToGrid w:val="0"/>
        <w:spacing w:line="60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部门预算执行率为100%，项目整体支出完成情况良好。</w:t>
      </w:r>
    </w:p>
    <w:p>
      <w:pPr>
        <w:widowControl/>
        <w:numPr>
          <w:ilvl w:val="0"/>
          <w:numId w:val="4"/>
        </w:numPr>
        <w:snapToGrid w:val="0"/>
        <w:spacing w:line="600" w:lineRule="exact"/>
        <w:ind w:firstLine="643" w:firstLineChars="200"/>
        <w:rPr>
          <w:rFonts w:eastAsia="楷体_GB2312"/>
          <w:b/>
          <w:bCs/>
          <w:color w:val="000000" w:themeColor="text1"/>
          <w:kern w:val="0"/>
          <w:sz w:val="32"/>
          <w:szCs w:val="32"/>
          <w:shd w:val="clear" w:color="auto" w:fill="FFFFFF"/>
          <w:lang w:val="zh-CN"/>
          <w14:textFill>
            <w14:solidFill>
              <w14:schemeClr w14:val="tx1"/>
            </w14:solidFill>
          </w14:textFill>
        </w:rPr>
      </w:pPr>
      <w:r>
        <w:rPr>
          <w:rFonts w:eastAsia="楷体_GB2312"/>
          <w:b/>
          <w:bCs/>
          <w:color w:val="000000" w:themeColor="text1"/>
          <w:kern w:val="0"/>
          <w:sz w:val="32"/>
          <w:szCs w:val="32"/>
          <w:shd w:val="clear" w:color="auto" w:fill="FFFFFF"/>
          <w:lang w:val="zh-CN"/>
          <w14:textFill>
            <w14:solidFill>
              <w14:schemeClr w14:val="tx1"/>
            </w14:solidFill>
          </w14:textFill>
        </w:rPr>
        <w:t>结余分配和结转结余情况。</w:t>
      </w:r>
    </w:p>
    <w:p>
      <w:pPr>
        <w:widowControl/>
        <w:numPr>
          <w:ilvl w:val="255"/>
          <w:numId w:val="0"/>
        </w:numPr>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2024年年初结转和结余资金392.84元，为非财政拨款结转和结余。</w:t>
      </w:r>
    </w:p>
    <w:p>
      <w:pPr>
        <w:widowControl/>
        <w:numPr>
          <w:ilvl w:val="255"/>
          <w:numId w:val="0"/>
        </w:numPr>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2024年全年收入共计7189.91万元，其中财政拨款收入3172.65万元，非财政拨款收入4017.26万元；</w:t>
      </w:r>
    </w:p>
    <w:p>
      <w:pPr>
        <w:widowControl/>
        <w:numPr>
          <w:ilvl w:val="255"/>
          <w:numId w:val="0"/>
        </w:numPr>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2024年全年总支出共计7239.82万元，其中财政拨款安排的支出3172.65万元，非财政拨款安排的支出4067.18万元；</w:t>
      </w:r>
    </w:p>
    <w:p>
      <w:pPr>
        <w:widowControl/>
        <w:numPr>
          <w:ilvl w:val="255"/>
          <w:numId w:val="0"/>
        </w:numPr>
        <w:snapToGrid w:val="0"/>
        <w:spacing w:line="600" w:lineRule="exact"/>
        <w:ind w:firstLine="640" w:firstLineChars="200"/>
        <w:rPr>
          <w:rFonts w:eastAsia="仿宋_GB2312"/>
          <w:color w:val="000000" w:themeColor="text1"/>
          <w:kern w:val="0"/>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年末结余资金342.92万元，财政拨款结余0元，非财政拨款结转和结余342.92万元。其中：代储省级救灾物资管理费12.88万元（于2025年6月上交攀枝花市财政局代管资金户）；成昆铁路扩能改造征地拆迁工作经费结转330.04万元。</w:t>
      </w:r>
    </w:p>
    <w:p>
      <w:pPr>
        <w:widowControl/>
        <w:adjustRightInd w:val="0"/>
        <w:snapToGrid w:val="0"/>
        <w:spacing w:line="600" w:lineRule="exact"/>
        <w:ind w:firstLine="640" w:firstLineChars="200"/>
        <w:contextualSpacing/>
        <w:rPr>
          <w:rFonts w:eastAsia="黑体"/>
          <w:color w:val="000000" w:themeColor="text1"/>
          <w:kern w:val="0"/>
          <w:sz w:val="32"/>
          <w:szCs w:val="32"/>
          <w:shd w:val="clear" w:color="auto" w:fill="FFFFFF"/>
          <w:lang w:val="zh-CN"/>
          <w14:textFill>
            <w14:solidFill>
              <w14:schemeClr w14:val="tx1"/>
            </w14:solidFill>
          </w14:textFill>
        </w:rPr>
      </w:pPr>
      <w:r>
        <w:rPr>
          <w:rFonts w:eastAsia="黑体"/>
          <w:color w:val="000000" w:themeColor="text1"/>
          <w:kern w:val="0"/>
          <w:sz w:val="32"/>
          <w:szCs w:val="32"/>
          <w:shd w:val="clear" w:color="auto" w:fill="FFFFFF"/>
          <w:lang w:val="zh-CN"/>
          <w14:textFill>
            <w14:solidFill>
              <w14:schemeClr w14:val="tx1"/>
            </w14:solidFill>
          </w14:textFill>
        </w:rPr>
        <w:t>三、部门预算绩效分析</w:t>
      </w:r>
    </w:p>
    <w:p>
      <w:pPr>
        <w:adjustRightInd w:val="0"/>
        <w:snapToGrid w:val="0"/>
        <w:spacing w:line="600" w:lineRule="exact"/>
        <w:ind w:firstLine="643" w:firstLineChars="200"/>
        <w:contextualSpacing/>
        <w:rPr>
          <w:rFonts w:eastAsia="仿宋_GB2312"/>
          <w:color w:val="000000" w:themeColor="text1"/>
          <w:sz w:val="32"/>
          <w:szCs w:val="32"/>
          <w:lang w:val="zh-CN"/>
          <w14:textFill>
            <w14:solidFill>
              <w14:schemeClr w14:val="tx1"/>
            </w14:solidFill>
          </w14:textFill>
        </w:rPr>
      </w:pPr>
      <w:r>
        <w:rPr>
          <w:rFonts w:eastAsia="楷体_GB2312"/>
          <w:b/>
          <w:bCs/>
          <w:color w:val="000000" w:themeColor="text1"/>
          <w:kern w:val="0"/>
          <w:sz w:val="32"/>
          <w:szCs w:val="32"/>
          <w:shd w:val="clear" w:color="auto" w:fill="FFFFFF"/>
          <w:lang w:val="zh-CN"/>
          <w14:textFill>
            <w14:solidFill>
              <w14:schemeClr w14:val="tx1"/>
            </w14:solidFill>
          </w14:textFill>
        </w:rPr>
        <w:t>（一）部门预算总体绩效分析。</w:t>
      </w:r>
    </w:p>
    <w:p>
      <w:pPr>
        <w:pStyle w:val="3"/>
        <w:adjustRightInd w:val="0"/>
        <w:snapToGrid w:val="0"/>
        <w:spacing w:after="0" w:line="600" w:lineRule="exact"/>
        <w:ind w:left="0" w:leftChars="0" w:firstLine="640"/>
        <w:rPr>
          <w:rFonts w:ascii="Times New Roman" w:eastAsia="黑体"/>
          <w:color w:val="000000" w:themeColor="text1"/>
          <w:sz w:val="32"/>
          <w14:textFill>
            <w14:solidFill>
              <w14:schemeClr w14:val="tx1"/>
            </w14:solidFill>
          </w14:textFill>
        </w:rPr>
      </w:pPr>
      <w:r>
        <w:rPr>
          <w:rFonts w:eastAsia="仿宋_GB2312"/>
          <w:color w:val="000000" w:themeColor="text1"/>
          <w:sz w:val="32"/>
          <w14:textFill>
            <w14:solidFill>
              <w14:schemeClr w14:val="tx1"/>
            </w14:solidFill>
          </w14:textFill>
        </w:rPr>
        <w:t>1.</w:t>
      </w:r>
      <w:r>
        <w:rPr>
          <w:rFonts w:eastAsia="仿宋_GB2312"/>
          <w:color w:val="000000" w:themeColor="text1"/>
          <w:sz w:val="32"/>
          <w:lang w:val="zh-CN"/>
          <w14:textFill>
            <w14:solidFill>
              <w14:schemeClr w14:val="tx1"/>
            </w14:solidFill>
          </w14:textFill>
        </w:rPr>
        <w:t>履职效能。</w:t>
      </w:r>
      <w:r>
        <w:rPr>
          <w:rFonts w:hint="eastAsia" w:ascii="Times New Roman" w:eastAsia="仿宋_GB2312"/>
          <w:color w:val="000000" w:themeColor="text1"/>
          <w:sz w:val="32"/>
          <w14:textFill>
            <w14:solidFill>
              <w14:schemeClr w14:val="tx1"/>
            </w14:solidFill>
          </w14:textFill>
        </w:rPr>
        <w:t>2024年我委通过</w:t>
      </w:r>
      <w:r>
        <w:rPr>
          <w:rFonts w:ascii="Times New Roman" w:eastAsia="仿宋_GB2312"/>
          <w:color w:val="000000" w:themeColor="text1"/>
          <w:sz w:val="32"/>
          <w14:textFill>
            <w14:solidFill>
              <w14:schemeClr w14:val="tx1"/>
            </w14:solidFill>
          </w14:textFill>
        </w:rPr>
        <w:t>统筹宏观经济运行</w:t>
      </w:r>
      <w:r>
        <w:rPr>
          <w:rFonts w:hint="eastAsia" w:ascii="Times New Roman" w:eastAsia="仿宋_GB2312"/>
          <w:color w:val="000000" w:themeColor="text1"/>
          <w:sz w:val="32"/>
          <w14:textFill>
            <w14:solidFill>
              <w14:schemeClr w14:val="tx1"/>
            </w14:solidFill>
          </w14:textFill>
        </w:rPr>
        <w:t>、</w:t>
      </w:r>
      <w:r>
        <w:rPr>
          <w:rFonts w:ascii="Times New Roman" w:eastAsia="仿宋_GB2312"/>
          <w:color w:val="000000" w:themeColor="text1"/>
          <w:sz w:val="32"/>
          <w14:textFill>
            <w14:solidFill>
              <w14:schemeClr w14:val="tx1"/>
            </w14:solidFill>
          </w14:textFill>
        </w:rPr>
        <w:t>稳增长促发展</w:t>
      </w:r>
      <w:r>
        <w:rPr>
          <w:rFonts w:hint="eastAsia" w:ascii="Times New Roman" w:eastAsia="仿宋_GB2312"/>
          <w:color w:val="000000" w:themeColor="text1"/>
          <w:sz w:val="32"/>
          <w14:textFill>
            <w14:solidFill>
              <w14:schemeClr w14:val="tx1"/>
            </w14:solidFill>
          </w14:textFill>
        </w:rPr>
        <w:t>、</w:t>
      </w:r>
      <w:r>
        <w:rPr>
          <w:rFonts w:ascii="Times New Roman" w:eastAsia="仿宋_GB2312"/>
          <w:color w:val="000000" w:themeColor="text1"/>
          <w:sz w:val="32"/>
          <w14:textFill>
            <w14:solidFill>
              <w14:schemeClr w14:val="tx1"/>
            </w14:solidFill>
          </w14:textFill>
        </w:rPr>
        <w:t>推进共同富裕试验区建设</w:t>
      </w:r>
      <w:r>
        <w:rPr>
          <w:rFonts w:hint="eastAsia" w:ascii="Times New Roman" w:eastAsia="仿宋_GB2312"/>
          <w:color w:val="000000" w:themeColor="text1"/>
          <w:sz w:val="32"/>
          <w14:textFill>
            <w14:solidFill>
              <w14:schemeClr w14:val="tx1"/>
            </w14:solidFill>
          </w14:textFill>
        </w:rPr>
        <w:t>、</w:t>
      </w:r>
      <w:r>
        <w:rPr>
          <w:rFonts w:ascii="Times New Roman" w:eastAsia="仿宋_GB2312"/>
          <w:color w:val="000000" w:themeColor="text1"/>
          <w:sz w:val="32"/>
          <w14:textFill>
            <w14:solidFill>
              <w14:schemeClr w14:val="tx1"/>
            </w14:solidFill>
          </w14:textFill>
        </w:rPr>
        <w:t>惠民生促融合</w:t>
      </w:r>
      <w:r>
        <w:rPr>
          <w:rFonts w:hint="eastAsia" w:ascii="Times New Roman" w:eastAsia="仿宋_GB2312"/>
          <w:color w:val="000000" w:themeColor="text1"/>
          <w:sz w:val="32"/>
          <w14:textFill>
            <w14:solidFill>
              <w14:schemeClr w14:val="tx1"/>
            </w14:solidFill>
          </w14:textFill>
        </w:rPr>
        <w:t>、</w:t>
      </w:r>
      <w:r>
        <w:rPr>
          <w:rFonts w:ascii="Times New Roman" w:eastAsia="仿宋_GB2312"/>
          <w:color w:val="000000" w:themeColor="text1"/>
          <w:sz w:val="32"/>
          <w14:textFill>
            <w14:solidFill>
              <w14:schemeClr w14:val="tx1"/>
            </w14:solidFill>
          </w14:textFill>
        </w:rPr>
        <w:t>打造全国重要清洁能源基地</w:t>
      </w:r>
      <w:r>
        <w:rPr>
          <w:rFonts w:hint="eastAsia" w:ascii="Times New Roman" w:eastAsia="仿宋_GB2312"/>
          <w:color w:val="000000" w:themeColor="text1"/>
          <w:sz w:val="32"/>
          <w14:textFill>
            <w14:solidFill>
              <w14:schemeClr w14:val="tx1"/>
            </w14:solidFill>
          </w14:textFill>
        </w:rPr>
        <w:t>、</w:t>
      </w:r>
      <w:r>
        <w:rPr>
          <w:rFonts w:ascii="Times New Roman" w:eastAsia="仿宋_GB2312"/>
          <w:color w:val="000000" w:themeColor="text1"/>
          <w:sz w:val="32"/>
          <w14:textFill>
            <w14:solidFill>
              <w14:schemeClr w14:val="tx1"/>
            </w14:solidFill>
          </w14:textFill>
        </w:rPr>
        <w:t>优布局强保障</w:t>
      </w:r>
      <w:r>
        <w:rPr>
          <w:rFonts w:hint="eastAsia" w:ascii="Times New Roman" w:eastAsia="仿宋_GB2312"/>
          <w:color w:val="000000" w:themeColor="text1"/>
          <w:sz w:val="32"/>
          <w14:textFill>
            <w14:solidFill>
              <w14:schemeClr w14:val="tx1"/>
            </w14:solidFill>
          </w14:textFill>
        </w:rPr>
        <w:t>、</w:t>
      </w:r>
      <w:r>
        <w:rPr>
          <w:rFonts w:ascii="Times New Roman" w:eastAsia="仿宋_GB2312"/>
          <w:color w:val="000000" w:themeColor="text1"/>
          <w:sz w:val="32"/>
          <w14:textFill>
            <w14:solidFill>
              <w14:schemeClr w14:val="tx1"/>
            </w14:solidFill>
          </w14:textFill>
        </w:rPr>
        <w:t>着力打通交通物流发展“瓶颈”</w:t>
      </w:r>
      <w:r>
        <w:rPr>
          <w:rFonts w:hint="eastAsia" w:ascii="Times New Roman" w:eastAsia="仿宋_GB2312"/>
          <w:color w:val="000000" w:themeColor="text1"/>
          <w:sz w:val="32"/>
          <w14:textFill>
            <w14:solidFill>
              <w14:schemeClr w14:val="tx1"/>
            </w14:solidFill>
          </w14:textFill>
        </w:rPr>
        <w:t>、</w:t>
      </w:r>
      <w:r>
        <w:rPr>
          <w:rFonts w:ascii="Times New Roman" w:eastAsia="仿宋_GB2312"/>
          <w:color w:val="000000" w:themeColor="text1"/>
          <w:sz w:val="32"/>
          <w14:textFill>
            <w14:solidFill>
              <w14:schemeClr w14:val="tx1"/>
            </w14:solidFill>
          </w14:textFill>
        </w:rPr>
        <w:t>畅通道建枢纽</w:t>
      </w:r>
      <w:r>
        <w:rPr>
          <w:rFonts w:hint="eastAsia" w:ascii="Times New Roman" w:eastAsia="仿宋_GB2312"/>
          <w:color w:val="000000" w:themeColor="text1"/>
          <w:sz w:val="32"/>
          <w14:textFill>
            <w14:solidFill>
              <w14:schemeClr w14:val="tx1"/>
            </w14:solidFill>
          </w14:textFill>
        </w:rPr>
        <w:t>等较好地完成目标任务</w:t>
      </w:r>
    </w:p>
    <w:p>
      <w:pPr>
        <w:numPr>
          <w:ilvl w:val="0"/>
          <w:numId w:val="0"/>
        </w:numPr>
        <w:tabs>
          <w:tab w:val="left" w:pos="312"/>
        </w:tabs>
        <w:spacing w:line="600" w:lineRule="exact"/>
        <w:ind w:left="0" w:leftChars="0" w:firstLine="640" w:firstLineChars="200"/>
        <w:rPr>
          <w:rFonts w:eastAsia="楷体_GB2312"/>
          <w:color w:val="000000" w:themeColor="text1"/>
          <w:kern w:val="0"/>
          <w:szCs w:val="32"/>
          <w:shd w:val="clear" w:color="auto" w:fill="FFFFFF"/>
          <w:lang w:val="zh-CN"/>
          <w14:textFill>
            <w14:solidFill>
              <w14:schemeClr w14:val="tx1"/>
            </w14:solidFill>
          </w14:textFill>
        </w:rPr>
      </w:pPr>
      <w:r>
        <w:rPr>
          <w:rFonts w:hint="eastAsia" w:eastAsia="仿宋_GB2312"/>
          <w:color w:val="000000" w:themeColor="text1"/>
          <w:sz w:val="32"/>
          <w:szCs w:val="32"/>
          <w:lang w:val="zh-CN"/>
          <w14:textFill>
            <w14:solidFill>
              <w14:schemeClr w14:val="tx1"/>
            </w14:solidFill>
          </w14:textFill>
        </w:rPr>
        <w:t>2</w:t>
      </w:r>
      <w:r>
        <w:rPr>
          <w:rFonts w:eastAsia="仿宋_GB2312"/>
          <w:color w:val="000000" w:themeColor="text1"/>
          <w:sz w:val="32"/>
          <w:szCs w:val="32"/>
          <w:lang w:val="zh-CN"/>
          <w14:textFill>
            <w14:solidFill>
              <w14:schemeClr w14:val="tx1"/>
            </w14:solidFill>
          </w14:textFill>
        </w:rPr>
        <w:t>.预算管理。</w:t>
      </w:r>
      <w:r>
        <w:rPr>
          <w:rFonts w:hint="eastAsia" w:eastAsia="仿宋_GB2312"/>
          <w:color w:val="000000" w:themeColor="text1"/>
          <w:sz w:val="32"/>
          <w:szCs w:val="32"/>
          <w:lang w:val="zh-CN"/>
          <w14:textFill>
            <w14:solidFill>
              <w14:schemeClr w14:val="tx1"/>
            </w14:solidFill>
          </w14:textFill>
        </w:rPr>
        <w:t>我委严格按照预算编制工作要求，结合本单位人员情况及实际工作需求，科学、合理编制部门预算。坚持“无预算不支出”，厉行节约，压缩公用经费开支，严控“三公”经费。在预算执行中，合理合规使用各项资金，加强预算执行，</w:t>
      </w:r>
      <w:r>
        <w:rPr>
          <w:rFonts w:hint="eastAsia" w:ascii="仿宋_GB2312" w:hAnsi="宋体" w:eastAsia="仿宋_GB2312" w:cs="宋体"/>
          <w:color w:val="000000" w:themeColor="text1"/>
          <w:kern w:val="0"/>
          <w:sz w:val="32"/>
          <w:szCs w:val="32"/>
          <w14:textFill>
            <w14:solidFill>
              <w14:schemeClr w14:val="tx1"/>
            </w14:solidFill>
          </w14:textFill>
        </w:rPr>
        <w:t>提高资金使用效率、确保目标实现。</w:t>
      </w:r>
      <w:r>
        <w:rPr>
          <w:rFonts w:hint="eastAsia" w:eastAsia="仿宋_GB2312"/>
          <w:color w:val="000000" w:themeColor="text1"/>
          <w:sz w:val="32"/>
          <w:szCs w:val="32"/>
          <w:lang w:val="zh-CN"/>
          <w14:textFill>
            <w14:solidFill>
              <w14:schemeClr w14:val="tx1"/>
            </w14:solidFill>
          </w14:textFill>
        </w:rPr>
        <w:t>预算项目均纳入项目库，进行绩效目标管理，按照项目进度及预算资金安排支付项目资金。</w:t>
      </w:r>
    </w:p>
    <w:p>
      <w:pPr>
        <w:numPr>
          <w:ilvl w:val="0"/>
          <w:numId w:val="0"/>
        </w:numPr>
        <w:tabs>
          <w:tab w:val="left" w:pos="312"/>
        </w:tabs>
        <w:snapToGrid w:val="0"/>
        <w:spacing w:line="600" w:lineRule="exact"/>
        <w:ind w:left="0" w:leftChars="0" w:firstLine="0" w:firstLineChars="0"/>
        <w:rPr>
          <w:rFonts w:eastAsia="楷体_GB2312"/>
          <w:color w:val="000000" w:themeColor="text1"/>
          <w:kern w:val="0"/>
          <w:szCs w:val="32"/>
          <w:shd w:val="clear" w:color="auto" w:fill="FFFFFF"/>
          <w:lang w:val="zh-CN"/>
          <w14:textFill>
            <w14:solidFill>
              <w14:schemeClr w14:val="tx1"/>
            </w14:solidFill>
          </w14:textFill>
        </w:rPr>
      </w:pPr>
      <w:r>
        <w:rPr>
          <w:rFonts w:hint="eastAsia" w:eastAsia="仿宋_GB2312"/>
          <w:color w:val="000000" w:themeColor="text1"/>
          <w:sz w:val="32"/>
          <w:szCs w:val="32"/>
          <w:lang w:val="zh-CN"/>
          <w14:textFill>
            <w14:solidFill>
              <w14:schemeClr w14:val="tx1"/>
            </w14:solidFill>
          </w14:textFill>
        </w:rPr>
        <w:t xml:space="preserve"> </w:t>
      </w:r>
      <w:r>
        <w:rPr>
          <w:rFonts w:eastAsia="仿宋_GB2312"/>
          <w:color w:val="000000" w:themeColor="text1"/>
          <w:sz w:val="32"/>
          <w:szCs w:val="32"/>
          <w:lang w:val="zh-CN"/>
          <w14:textFill>
            <w14:solidFill>
              <w14:schemeClr w14:val="tx1"/>
            </w14:solidFill>
          </w14:textFill>
        </w:rPr>
        <w:t xml:space="preserve">   3.财务管理</w:t>
      </w:r>
      <w:r>
        <w:rPr>
          <w:rFonts w:hint="eastAsia" w:eastAsia="仿宋_GB2312"/>
          <w:color w:val="000000" w:themeColor="text1"/>
          <w:sz w:val="32"/>
          <w:szCs w:val="32"/>
          <w:lang w:val="zh-CN"/>
          <w14:textFill>
            <w14:solidFill>
              <w14:schemeClr w14:val="tx1"/>
            </w14:solidFill>
          </w14:textFill>
        </w:rPr>
        <w:t>。机关财务岗位设置符合不相容岗位相互分离的要求，分别设置出纳、会计、财务主管三岗对委机关经费收支进行管理。认真贯彻落实中央八项规定和省市十项规定，严格执行各类财经纪律，加强经费合法合规性审核和预算控制；严格按照相关法律法规依法真实完整进行会计核算、编制各类财务会计报表。</w:t>
      </w:r>
    </w:p>
    <w:p>
      <w:pPr>
        <w:widowControl/>
        <w:numPr>
          <w:ilvl w:val="0"/>
          <w:numId w:val="0"/>
        </w:numPr>
        <w:tabs>
          <w:tab w:val="left" w:pos="312"/>
        </w:tabs>
        <w:spacing w:line="600" w:lineRule="exact"/>
        <w:ind w:left="0" w:leftChars="0" w:firstLine="640" w:firstLineChars="200"/>
        <w:rPr>
          <w:rFonts w:eastAsia="楷体_GB2312"/>
          <w:color w:val="000000" w:themeColor="text1"/>
          <w:kern w:val="0"/>
          <w:szCs w:val="32"/>
          <w:shd w:val="clear" w:color="auto" w:fill="FFFFFF"/>
          <w:lang w:val="zh-CN"/>
          <w14:textFill>
            <w14:solidFill>
              <w14:schemeClr w14:val="tx1"/>
            </w14:solidFill>
          </w14:textFill>
        </w:rPr>
      </w:pPr>
      <w:r>
        <w:rPr>
          <w:rFonts w:hint="eastAsia" w:eastAsia="仿宋_GB2312"/>
          <w:color w:val="000000" w:themeColor="text1"/>
          <w:sz w:val="32"/>
          <w:szCs w:val="32"/>
          <w:lang w:val="zh-CN"/>
          <w14:textFill>
            <w14:solidFill>
              <w14:schemeClr w14:val="tx1"/>
            </w14:solidFill>
          </w14:textFill>
        </w:rPr>
        <w:t>4</w:t>
      </w:r>
      <w:r>
        <w:rPr>
          <w:rFonts w:eastAsia="仿宋_GB2312"/>
          <w:color w:val="000000" w:themeColor="text1"/>
          <w:sz w:val="32"/>
          <w:szCs w:val="32"/>
          <w:lang w:val="zh-CN"/>
          <w14:textFill>
            <w14:solidFill>
              <w14:schemeClr w14:val="tx1"/>
            </w14:solidFill>
          </w14:textFill>
        </w:rPr>
        <w:t>.资产管理。</w:t>
      </w:r>
      <w:r>
        <w:rPr>
          <w:rFonts w:hint="eastAsia" w:eastAsia="仿宋_GB2312"/>
          <w:color w:val="000000" w:themeColor="text1"/>
          <w:sz w:val="32"/>
          <w:szCs w:val="32"/>
          <w:lang w:val="zh-CN"/>
          <w14:textFill>
            <w14:solidFill>
              <w14:schemeClr w14:val="tx1"/>
            </w14:solidFill>
          </w14:textFill>
        </w:rPr>
        <w:t>资产管理规范，制度健全，分工明确，执行有效。资产配置、使用和处置严格执行各项资产管理制度规定，提高了资产使用率，保障资产的安全和完整。</w:t>
      </w:r>
      <w:r>
        <w:rPr>
          <w:rFonts w:hint="eastAsia" w:eastAsia="仿宋_GB2312"/>
          <w:color w:val="000000" w:themeColor="text1"/>
          <w:sz w:val="32"/>
          <w:szCs w:val="32"/>
          <w14:textFill>
            <w14:solidFill>
              <w14:schemeClr w14:val="tx1"/>
            </w14:solidFill>
          </w14:textFill>
        </w:rPr>
        <w:t>2024</w:t>
      </w:r>
      <w:r>
        <w:rPr>
          <w:rFonts w:hint="eastAsia" w:eastAsia="仿宋_GB2312"/>
          <w:color w:val="000000" w:themeColor="text1"/>
          <w:sz w:val="32"/>
          <w:szCs w:val="32"/>
          <w:lang w:val="zh-CN"/>
          <w14:textFill>
            <w14:solidFill>
              <w14:schemeClr w14:val="tx1"/>
            </w14:solidFill>
          </w14:textFill>
        </w:rPr>
        <w:t>年，我单位人均资产变化率未发生较大的变动，资产利用率较高。</w:t>
      </w:r>
    </w:p>
    <w:p>
      <w:pPr>
        <w:tabs>
          <w:tab w:val="left" w:pos="312"/>
        </w:tabs>
        <w:adjustRightInd w:val="0"/>
        <w:snapToGrid w:val="0"/>
        <w:spacing w:line="600" w:lineRule="exact"/>
        <w:ind w:firstLine="640" w:firstLineChars="200"/>
        <w:contextualSpacing w:val="0"/>
        <w:rPr>
          <w:rFonts w:eastAsia="仿宋_GB2312"/>
          <w:color w:val="000000" w:themeColor="text1"/>
          <w:sz w:val="32"/>
          <w:szCs w:val="32"/>
          <w:lang w:val="zh-CN"/>
          <w14:textFill>
            <w14:solidFill>
              <w14:schemeClr w14:val="tx1"/>
            </w14:solidFill>
          </w14:textFill>
        </w:rPr>
      </w:pPr>
      <w:r>
        <w:rPr>
          <w:rFonts w:hint="eastAsia" w:eastAsia="仿宋_GB2312"/>
          <w:color w:val="000000" w:themeColor="text1"/>
          <w:sz w:val="32"/>
          <w:szCs w:val="32"/>
          <w:lang w:val="zh-CN"/>
          <w14:textFill>
            <w14:solidFill>
              <w14:schemeClr w14:val="tx1"/>
            </w14:solidFill>
          </w14:textFill>
        </w:rPr>
        <w:t>5</w:t>
      </w:r>
      <w:r>
        <w:rPr>
          <w:rFonts w:eastAsia="仿宋_GB2312"/>
          <w:color w:val="000000" w:themeColor="text1"/>
          <w:sz w:val="32"/>
          <w:szCs w:val="32"/>
          <w:lang w:val="zh-CN"/>
          <w14:textFill>
            <w14:solidFill>
              <w14:schemeClr w14:val="tx1"/>
            </w14:solidFill>
          </w14:textFill>
        </w:rPr>
        <w:t>.采购管理。</w:t>
      </w:r>
      <w:r>
        <w:rPr>
          <w:rFonts w:hint="eastAsia" w:eastAsia="仿宋_GB2312"/>
          <w:color w:val="000000" w:themeColor="text1"/>
          <w:sz w:val="32"/>
          <w:szCs w:val="32"/>
          <w:lang w:val="zh-CN"/>
          <w14:textFill>
            <w14:solidFill>
              <w14:schemeClr w14:val="tx1"/>
            </w14:solidFill>
          </w14:textFill>
        </w:rPr>
        <w:t>严格遵守政府采购相关规定，在采购执行过程中，响应国家政策，积极支持中小企业发展，</w:t>
      </w:r>
      <w:r>
        <w:rPr>
          <w:rFonts w:hint="eastAsia"/>
          <w:color w:val="000000" w:themeColor="text1"/>
          <w:sz w:val="32"/>
          <w:szCs w:val="32"/>
          <w14:textFill>
            <w14:solidFill>
              <w14:schemeClr w14:val="tx1"/>
            </w14:solidFill>
          </w14:textFill>
        </w:rPr>
        <w:t>2024</w:t>
      </w:r>
      <w:r>
        <w:rPr>
          <w:rFonts w:hint="eastAsia" w:eastAsia="仿宋_GB2312"/>
          <w:color w:val="000000" w:themeColor="text1"/>
          <w:sz w:val="32"/>
          <w:szCs w:val="32"/>
          <w:lang w:val="zh-CN"/>
          <w14:textFill>
            <w14:solidFill>
              <w14:schemeClr w14:val="tx1"/>
            </w14:solidFill>
          </w14:textFill>
        </w:rPr>
        <w:t>年度，市发展改革委政府采购支出总额</w:t>
      </w:r>
      <w:r>
        <w:rPr>
          <w:rFonts w:hint="eastAsia"/>
          <w:color w:val="000000" w:themeColor="text1"/>
          <w:sz w:val="32"/>
          <w:szCs w:val="32"/>
          <w14:textFill>
            <w14:solidFill>
              <w14:schemeClr w14:val="tx1"/>
            </w14:solidFill>
          </w14:textFill>
        </w:rPr>
        <w:t>661.25</w:t>
      </w:r>
      <w:r>
        <w:rPr>
          <w:rFonts w:hint="eastAsia" w:eastAsia="仿宋_GB2312"/>
          <w:color w:val="000000" w:themeColor="text1"/>
          <w:sz w:val="32"/>
          <w:szCs w:val="32"/>
          <w:lang w:val="zh-CN"/>
          <w14:textFill>
            <w14:solidFill>
              <w14:schemeClr w14:val="tx1"/>
            </w14:solidFill>
          </w14:textFill>
        </w:rPr>
        <w:t>万元，</w:t>
      </w:r>
      <w:r>
        <w:rPr>
          <w:rFonts w:eastAsia="仿宋_GB2312"/>
          <w:color w:val="000000" w:themeColor="text1"/>
          <w:sz w:val="32"/>
          <w:szCs w:val="32"/>
          <w14:textFill>
            <w14:solidFill>
              <w14:schemeClr w14:val="tx1"/>
            </w14:solidFill>
          </w14:textFill>
        </w:rPr>
        <w:t>主要用于攀枝花市粮食质量检验监测中心实验室改造项目</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公务用车维修保险等、昭攀铁路（攀枝花段）可行性研究报告编制、攀枝花市公共信用信息共享平台服务项目、攀枝花市国家现代流通战略支点城市建设研究项目等</w:t>
      </w:r>
      <w:r>
        <w:rPr>
          <w:rFonts w:hint="eastAsia" w:eastAsia="仿宋_GB2312"/>
          <w:color w:val="000000" w:themeColor="text1"/>
          <w:sz w:val="32"/>
          <w:szCs w:val="32"/>
          <w:lang w:val="zh-CN"/>
          <w14:textFill>
            <w14:solidFill>
              <w14:schemeClr w14:val="tx1"/>
            </w14:solidFill>
          </w14:textFill>
        </w:rPr>
        <w:t>。项目任务完成、达到质量标准，项目资金拨付完毕，成本控制目标已实现，支付依据合规合法，资金支付与预算相符。</w:t>
      </w:r>
    </w:p>
    <w:p>
      <w:pPr>
        <w:adjustRightInd w:val="0"/>
        <w:snapToGrid w:val="0"/>
        <w:spacing w:line="600" w:lineRule="exact"/>
        <w:ind w:firstLine="643" w:firstLineChars="200"/>
        <w:contextualSpacing/>
        <w:rPr>
          <w:rFonts w:eastAsia="仿宋_GB2312"/>
          <w:color w:val="000000" w:themeColor="text1"/>
          <w:sz w:val="32"/>
          <w:szCs w:val="32"/>
          <w14:textFill>
            <w14:solidFill>
              <w14:schemeClr w14:val="tx1"/>
            </w14:solidFill>
          </w14:textFill>
        </w:rPr>
      </w:pPr>
      <w:r>
        <w:rPr>
          <w:rFonts w:eastAsia="楷体_GB2312"/>
          <w:b/>
          <w:bCs/>
          <w:color w:val="000000" w:themeColor="text1"/>
          <w:kern w:val="0"/>
          <w:sz w:val="32"/>
          <w:szCs w:val="32"/>
          <w:shd w:val="clear" w:color="auto" w:fill="FFFFFF"/>
          <w:lang w:val="zh-CN"/>
          <w14:textFill>
            <w14:solidFill>
              <w14:schemeClr w14:val="tx1"/>
            </w14:solidFill>
          </w14:textFill>
        </w:rPr>
        <w:t>（二）部门预算项目绩效分析。</w:t>
      </w:r>
    </w:p>
    <w:p>
      <w:pPr>
        <w:widowControl/>
        <w:adjustRightInd w:val="0"/>
        <w:snapToGrid w:val="0"/>
        <w:spacing w:line="60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1.人员类项目涉及预算总金额2313.1万元，1—12月预算执行总体进度为100%。</w:t>
      </w:r>
      <w:r>
        <w:rPr>
          <w:rFonts w:hint="eastAsia" w:ascii="仿宋_GB2312" w:hAnsi="仿宋_GB2312" w:eastAsia="仿宋_GB2312" w:cs="仿宋_GB2312"/>
          <w:color w:val="000000" w:themeColor="text1"/>
          <w:sz w:val="32"/>
          <w:szCs w:val="32"/>
          <w14:textFill>
            <w14:solidFill>
              <w14:schemeClr w14:val="tx1"/>
            </w14:solidFill>
          </w14:textFill>
        </w:rPr>
        <w:t>产出指标执行进度和预算完成情况：人员类财政拨款支出主要用于保障本单位机构正常运转和承担社会保险事业发展相关工作，包括基本工资、津贴补贴、养老保险、医保等人员经费。效益指标完成情况分析：所有开支均按照财务管理制度执行，资金的使用严格把关，机关的日常工作运行得到保障。满意度指标完成情况分析：2024年本单位较好地完成了人员经费绩效目标任务，预算执行率达到100%。</w:t>
      </w:r>
    </w:p>
    <w:p>
      <w:pPr>
        <w:widowControl/>
        <w:adjustRightInd w:val="0"/>
        <w:snapToGrid w:val="0"/>
        <w:spacing w:line="60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运转类项目涉及预算总金额260.01万元，1—12月预算执行总体进度为100%。产出指标执行进度和预算完成情况：运转类预算财政拨款支出主要用于保障机构正常运转的日常支出，包括办公费、水电费、差旅费、邮电费、租赁费等日常公用经费。效益指标完成情况分析：2024年日常管理工作所有开支均按照我委相关财务管理制度和内控制度执行，资金的使用严格把关，建立了工作有计划、实施有方案、日常有监督的管理机制。满意度指标完成情况分析：机关的日常工作运行得到有效保障，取得了较好的成效，获得了社会公众的一致好评。</w:t>
      </w:r>
    </w:p>
    <w:p>
      <w:pPr>
        <w:numPr>
          <w:ilvl w:val="0"/>
          <w:numId w:val="0"/>
        </w:numPr>
        <w:tabs>
          <w:tab w:val="left" w:pos="312"/>
        </w:tabs>
        <w:adjustRightInd w:val="0"/>
        <w:snapToGrid w:val="0"/>
        <w:spacing w:line="600" w:lineRule="exact"/>
        <w:ind w:firstLine="640" w:firstLineChars="200"/>
        <w:contextualSpacing/>
        <w:rPr>
          <w:rFonts w:eastAsia="仿宋_GB2312"/>
          <w:color w:val="000000" w:themeColor="text1"/>
          <w:sz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阶段（含一次性）项目绩效分析。详见</w:t>
      </w:r>
      <w:r>
        <w:rPr>
          <w:rFonts w:eastAsia="仿宋_GB2312"/>
          <w:color w:val="000000" w:themeColor="text1"/>
          <w:sz w:val="32"/>
          <w:lang w:bidi="ar"/>
          <w14:textFill>
            <w14:solidFill>
              <w14:schemeClr w14:val="tx1"/>
            </w14:solidFill>
          </w14:textFill>
        </w:rPr>
        <w:t>部门预算项目支出绩效自评表（2024年度）</w:t>
      </w:r>
    </w:p>
    <w:p>
      <w:pPr>
        <w:numPr>
          <w:ilvl w:val="255"/>
          <w:numId w:val="0"/>
        </w:numPr>
        <w:adjustRightInd w:val="0"/>
        <w:snapToGrid w:val="0"/>
        <w:spacing w:line="60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预算项目决策均按规定履行评估论证和申报程序；目标与计划期内的任务量、预算安排的资金量匹配，绩效目标设置科学合理、规范完整、量化细化、预算匹配；均在规定时间完成入库。在项目执行过程中，实际列支内容与绩效目标设置方向相符，不存在应采取未采取收回预算、调整目标等处置措施的部门预算阶段项目及预算结余率大于10%的项目。部门预算项目绩效目标数量指标29个，已完成27个，实现程度与预期目标无较大差异，效益指标39个，已完成39个，实现效果与预期一致。</w:t>
      </w:r>
    </w:p>
    <w:p>
      <w:pPr>
        <w:numPr>
          <w:ilvl w:val="0"/>
          <w:numId w:val="0"/>
        </w:numPr>
        <w:snapToGrid w:val="0"/>
        <w:spacing w:line="600" w:lineRule="exact"/>
        <w:ind w:left="643" w:firstLine="0" w:firstLineChars="0"/>
        <w:rPr>
          <w:rFonts w:eastAsia="楷体_GB2312"/>
          <w:b/>
          <w:bCs/>
          <w:color w:val="000000" w:themeColor="text1"/>
          <w:kern w:val="0"/>
          <w:sz w:val="32"/>
          <w:szCs w:val="32"/>
          <w:shd w:val="clear" w:color="auto" w:fill="FFFFFF"/>
          <w:lang w:val="zh-CN"/>
          <w14:textFill>
            <w14:solidFill>
              <w14:schemeClr w14:val="tx1"/>
            </w14:solidFill>
          </w14:textFill>
        </w:rPr>
      </w:pPr>
      <w:r>
        <w:rPr>
          <w:rFonts w:hint="eastAsia" w:eastAsia="楷体_GB2312"/>
          <w:b/>
          <w:bCs/>
          <w:color w:val="000000" w:themeColor="text1"/>
          <w:kern w:val="0"/>
          <w:sz w:val="32"/>
          <w:szCs w:val="32"/>
          <w:shd w:val="clear" w:color="auto" w:fill="FFFFFF"/>
          <w:lang w:val="zh-CN"/>
          <w14:textFill>
            <w14:solidFill>
              <w14:schemeClr w14:val="tx1"/>
            </w14:solidFill>
          </w14:textFill>
        </w:rPr>
        <w:t>（三）</w:t>
      </w:r>
      <w:r>
        <w:rPr>
          <w:rFonts w:eastAsia="楷体_GB2312"/>
          <w:b/>
          <w:bCs/>
          <w:color w:val="000000" w:themeColor="text1"/>
          <w:kern w:val="0"/>
          <w:sz w:val="32"/>
          <w:szCs w:val="32"/>
          <w:shd w:val="clear" w:color="auto" w:fill="FFFFFF"/>
          <w:lang w:val="zh-CN"/>
          <w14:textFill>
            <w14:solidFill>
              <w14:schemeClr w14:val="tx1"/>
            </w14:solidFill>
          </w14:textFill>
        </w:rPr>
        <w:t>绩效结果应用情况。</w:t>
      </w:r>
    </w:p>
    <w:p>
      <w:pPr>
        <w:numPr>
          <w:ilvl w:val="255"/>
          <w:numId w:val="0"/>
        </w:numPr>
        <w:snapToGrid w:val="0"/>
        <w:spacing w:line="600" w:lineRule="exact"/>
        <w:ind w:firstLine="640" w:firstLineChars="200"/>
        <w:rPr>
          <w:rFonts w:eastAsia="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我委紧紧围绕部门预算绩效目标推进各项专项工作，实时监控部门预算执行情况，顺利完成各个项目资金年度绩效目标。按照强化绩效管理理念，秉承客观公正、实事求是的原则开展了单位自评工作，绩效目标整体完成较好，已达到年初设定目标值。因部分项目工作进度调整，导致部门项目资金执行率不高。针对评价报告中反馈问题，本单位认真开展自查自纠，不断加强学习，不断完善绩效评价指标体系，科学编制预算，严格预算执行，优化资源配置、控制节约成本，不断提高财政资金使用效益，充分发挥本单位的职能作用。</w:t>
      </w:r>
    </w:p>
    <w:p>
      <w:pPr>
        <w:widowControl/>
        <w:adjustRightInd w:val="0"/>
        <w:snapToGrid w:val="0"/>
        <w:spacing w:line="600" w:lineRule="exact"/>
        <w:ind w:firstLine="640" w:firstLineChars="200"/>
        <w:contextualSpacing/>
        <w:rPr>
          <w:rFonts w:eastAsia="黑体"/>
          <w:color w:val="000000" w:themeColor="text1"/>
          <w:kern w:val="0"/>
          <w:sz w:val="32"/>
          <w:szCs w:val="32"/>
          <w:shd w:val="clear" w:color="auto" w:fill="FFFFFF"/>
          <w:lang w:val="zh-CN"/>
          <w14:textFill>
            <w14:solidFill>
              <w14:schemeClr w14:val="tx1"/>
            </w14:solidFill>
          </w14:textFill>
        </w:rPr>
      </w:pPr>
      <w:r>
        <w:rPr>
          <w:rFonts w:eastAsia="黑体"/>
          <w:color w:val="000000" w:themeColor="text1"/>
          <w:kern w:val="0"/>
          <w:sz w:val="32"/>
          <w:szCs w:val="32"/>
          <w:shd w:val="clear" w:color="auto" w:fill="FFFFFF"/>
          <w:lang w:val="zh-CN"/>
          <w14:textFill>
            <w14:solidFill>
              <w14:schemeClr w14:val="tx1"/>
            </w14:solidFill>
          </w14:textFill>
        </w:rPr>
        <w:t>四、评价结论及建议</w:t>
      </w:r>
    </w:p>
    <w:p>
      <w:pPr>
        <w:snapToGrid w:val="0"/>
        <w:spacing w:line="600" w:lineRule="exact"/>
        <w:ind w:firstLine="641"/>
        <w:rPr>
          <w:rFonts w:eastAsia="楷体_GB2312"/>
          <w:b/>
          <w:bCs/>
          <w:color w:val="000000" w:themeColor="text1"/>
          <w:kern w:val="0"/>
          <w:sz w:val="32"/>
          <w:szCs w:val="32"/>
          <w:shd w:val="clear" w:color="auto" w:fill="FFFFFF"/>
          <w:lang w:val="zh-CN"/>
          <w14:textFill>
            <w14:solidFill>
              <w14:schemeClr w14:val="tx1"/>
            </w14:solidFill>
          </w14:textFill>
        </w:rPr>
      </w:pPr>
      <w:r>
        <w:rPr>
          <w:rFonts w:eastAsia="楷体_GB2312"/>
          <w:b/>
          <w:bCs/>
          <w:color w:val="000000" w:themeColor="text1"/>
          <w:kern w:val="0"/>
          <w:sz w:val="32"/>
          <w:szCs w:val="32"/>
          <w:shd w:val="clear" w:color="auto" w:fill="FFFFFF"/>
          <w:lang w:val="zh-CN"/>
          <w14:textFill>
            <w14:solidFill>
              <w14:schemeClr w14:val="tx1"/>
            </w14:solidFill>
          </w14:textFill>
        </w:rPr>
        <w:t>（一）评价结论。</w:t>
      </w:r>
    </w:p>
    <w:p>
      <w:pPr>
        <w:snapToGrid w:val="0"/>
        <w:spacing w:line="600" w:lineRule="exact"/>
        <w:ind w:firstLine="641"/>
        <w:rPr>
          <w:rFonts w:ascii="仿宋_GB2312" w:hAnsi="仿宋_GB2312" w:eastAsia="仿宋_GB2312" w:cs="仿宋_GB2312"/>
          <w:b/>
          <w:bCs/>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根据《2024年度部门预算绩效自评打分表》评分标准，市发展改革委2024年部门整体支出绩效自评分数为94.84分，</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部门预算支出绩效总体良好，各项目标达到了相应时期执行进度，并严格按照预算安排执行。其中“三公”经费预算执行率100%，人员经费和公用经费预算执行率100%，政府采购网上竞价、涉密采购及零星需求履行内部采购程序，实现了应采尽采，项目预算支出全部按期完成，年末无财政结余资金，经费结余控制较好；预算完成率为100%，预算执行较上年有了大幅进步。</w:t>
      </w:r>
    </w:p>
    <w:p>
      <w:pPr>
        <w:widowControl/>
        <w:numPr>
          <w:ilvl w:val="0"/>
          <w:numId w:val="5"/>
        </w:numPr>
        <w:adjustRightInd w:val="0"/>
        <w:snapToGrid w:val="0"/>
        <w:spacing w:line="600" w:lineRule="exact"/>
        <w:ind w:firstLine="643" w:firstLineChars="200"/>
        <w:contextualSpacing/>
        <w:rPr>
          <w:rFonts w:eastAsia="楷体_GB2312"/>
          <w:b/>
          <w:bCs/>
          <w:color w:val="000000" w:themeColor="text1"/>
          <w:kern w:val="0"/>
          <w:sz w:val="32"/>
          <w:szCs w:val="32"/>
          <w:shd w:val="clear" w:color="auto" w:fill="FFFFFF"/>
          <w:lang w:val="zh-CN"/>
          <w14:textFill>
            <w14:solidFill>
              <w14:schemeClr w14:val="tx1"/>
            </w14:solidFill>
          </w14:textFill>
        </w:rPr>
      </w:pPr>
      <w:r>
        <w:rPr>
          <w:rFonts w:eastAsia="楷体_GB2312"/>
          <w:b/>
          <w:bCs/>
          <w:color w:val="000000" w:themeColor="text1"/>
          <w:kern w:val="0"/>
          <w:sz w:val="32"/>
          <w:szCs w:val="32"/>
          <w:shd w:val="clear" w:color="auto" w:fill="FFFFFF"/>
          <w:lang w:val="zh-CN"/>
          <w14:textFill>
            <w14:solidFill>
              <w14:schemeClr w14:val="tx1"/>
            </w14:solidFill>
          </w14:textFill>
        </w:rPr>
        <w:t>存在问题。</w:t>
      </w:r>
    </w:p>
    <w:p>
      <w:pPr>
        <w:widowControl/>
        <w:numPr>
          <w:ilvl w:val="255"/>
          <w:numId w:val="0"/>
        </w:numPr>
        <w:adjustRightInd w:val="0"/>
        <w:snapToGrid w:val="0"/>
        <w:spacing w:line="600" w:lineRule="exact"/>
        <w:ind w:firstLine="640" w:firstLineChars="200"/>
        <w:contextualSpacing/>
        <w:rPr>
          <w:rFonts w:eastAsia="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1.年初预算编制细化程度不够，准确程度有待提高。由于机构改革，机关人员变动，进行了年中预算追加和调整，全年预算执行数与年初预算数存在一定偏离。</w:t>
      </w:r>
    </w:p>
    <w:p>
      <w:pPr>
        <w:widowControl/>
        <w:numPr>
          <w:ilvl w:val="255"/>
          <w:numId w:val="0"/>
        </w:numPr>
        <w:adjustRightInd w:val="0"/>
        <w:snapToGrid w:val="0"/>
        <w:spacing w:line="600" w:lineRule="exact"/>
        <w:ind w:firstLine="640" w:firstLineChars="200"/>
        <w:contextualSpacing/>
        <w:rPr>
          <w:rFonts w:eastAsia="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部分项目资金执行率不高。一方面，因部分项目工作进度调整，加上财政资金紧张，导致部分项目资金执行率不高。另一方面，部分政府采购项目因项目执行进度根据实际开展情况进行调整，本年采购执行率有待提高。</w:t>
      </w:r>
    </w:p>
    <w:p>
      <w:pPr>
        <w:widowControl/>
        <w:numPr>
          <w:ilvl w:val="0"/>
          <w:numId w:val="6"/>
        </w:numPr>
        <w:adjustRightInd w:val="0"/>
        <w:snapToGrid w:val="0"/>
        <w:spacing w:line="600" w:lineRule="exact"/>
        <w:ind w:firstLine="643" w:firstLineChars="200"/>
        <w:contextualSpacing/>
        <w:rPr>
          <w:rFonts w:eastAsia="楷体_GB2312"/>
          <w:b/>
          <w:bCs/>
          <w:color w:val="000000" w:themeColor="text1"/>
          <w:kern w:val="0"/>
          <w:sz w:val="32"/>
          <w:szCs w:val="32"/>
          <w:shd w:val="clear" w:color="auto" w:fill="FFFFFF"/>
          <w:lang w:val="zh-CN"/>
          <w14:textFill>
            <w14:solidFill>
              <w14:schemeClr w14:val="tx1"/>
            </w14:solidFill>
          </w14:textFill>
        </w:rPr>
      </w:pPr>
      <w:r>
        <w:rPr>
          <w:rFonts w:eastAsia="楷体_GB2312"/>
          <w:b/>
          <w:bCs/>
          <w:color w:val="000000" w:themeColor="text1"/>
          <w:kern w:val="0"/>
          <w:sz w:val="32"/>
          <w:szCs w:val="32"/>
          <w:shd w:val="clear" w:color="auto" w:fill="FFFFFF"/>
          <w:lang w:val="zh-CN"/>
          <w14:textFill>
            <w14:solidFill>
              <w14:schemeClr w14:val="tx1"/>
            </w14:solidFill>
          </w14:textFill>
        </w:rPr>
        <w:t>改进建议。</w:t>
      </w:r>
    </w:p>
    <w:p>
      <w:pPr>
        <w:widowControl/>
        <w:numPr>
          <w:ilvl w:val="0"/>
          <w:numId w:val="0"/>
        </w:numPr>
        <w:adjustRightInd w:val="0"/>
        <w:snapToGrid w:val="0"/>
        <w:spacing w:line="600" w:lineRule="exact"/>
        <w:ind w:firstLine="640" w:firstLineChars="200"/>
        <w:contextualSpacing/>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科学精细编制预算。一方面严格按照预算管理要求开展预算编制工作，提高年初预算科学化、精细化水平，尽量减少年中调整事项；另一方面，严格遵循预算编制口径的一贯性及可比性原则，预算编制要切合实际工作经费需要，尽可能减少项目支出预算使用用途的调整，提高预算调整合理性。</w:t>
      </w:r>
    </w:p>
    <w:p>
      <w:pPr>
        <w:widowControl/>
        <w:numPr>
          <w:ilvl w:val="0"/>
          <w:numId w:val="0"/>
        </w:numPr>
        <w:adjustRightInd w:val="0"/>
        <w:snapToGrid w:val="0"/>
        <w:spacing w:line="600" w:lineRule="exact"/>
        <w:ind w:firstLine="640" w:firstLineChars="200"/>
        <w:contextualSpacing/>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合理安排各项目资金支出。保持均衡的支出进度，保障重点项目进度的正常推进。</w:t>
      </w:r>
    </w:p>
    <w:p>
      <w:pPr>
        <w:widowControl/>
        <w:numPr>
          <w:ilvl w:val="0"/>
          <w:numId w:val="0"/>
        </w:numPr>
        <w:adjustRightInd w:val="0"/>
        <w:snapToGrid w:val="0"/>
        <w:spacing w:line="600" w:lineRule="exact"/>
        <w:ind w:firstLine="640" w:firstLineChars="200"/>
        <w:contextualSpacing/>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加强政府采购管理。科学编制政府采购计划，严格按照内部控制管理制度及外部政策要求实施采购，进一步提高政府采购执行率。</w:t>
      </w:r>
    </w:p>
    <w:p>
      <w:pPr>
        <w:pStyle w:val="3"/>
        <w:spacing w:after="0" w:line="600" w:lineRule="exact"/>
        <w:ind w:left="0" w:leftChars="0" w:firstLine="0" w:firstLineChars="0"/>
        <w:rPr>
          <w:rFonts w:ascii="Times New Roman" w:eastAsia="仿宋_GB2312"/>
          <w:color w:val="000000" w:themeColor="text1"/>
          <w:sz w:val="32"/>
          <w:lang w:val="zh-CN" w:bidi="ar"/>
          <w14:textFill>
            <w14:solidFill>
              <w14:schemeClr w14:val="tx1"/>
            </w14:solidFill>
          </w14:textFill>
        </w:rPr>
      </w:pPr>
    </w:p>
    <w:p>
      <w:pPr>
        <w:pStyle w:val="3"/>
        <w:spacing w:after="0" w:line="600" w:lineRule="exact"/>
        <w:ind w:left="0" w:leftChars="0" w:firstLine="640"/>
        <w:rPr>
          <w:rFonts w:ascii="Times New Roman" w:eastAsia="仿宋_GB2312"/>
          <w:color w:val="000000" w:themeColor="text1"/>
          <w:sz w:val="32"/>
          <w:lang w:val="zh-CN" w:bidi="ar"/>
          <w14:textFill>
            <w14:solidFill>
              <w14:schemeClr w14:val="tx1"/>
            </w14:solidFill>
          </w14:textFill>
        </w:rPr>
      </w:pPr>
      <w:r>
        <w:rPr>
          <w:rFonts w:ascii="Times New Roman" w:eastAsia="仿宋_GB2312"/>
          <w:color w:val="000000" w:themeColor="text1"/>
          <w:sz w:val="32"/>
          <w:lang w:val="zh-CN" w:bidi="ar"/>
          <w14:textFill>
            <w14:solidFill>
              <w14:schemeClr w14:val="tx1"/>
            </w14:solidFill>
          </w14:textFill>
        </w:rPr>
        <w:t>附表：</w:t>
      </w:r>
      <w:r>
        <w:rPr>
          <w:rFonts w:ascii="Times New Roman" w:eastAsia="仿宋_GB2312"/>
          <w:color w:val="000000" w:themeColor="text1"/>
          <w:sz w:val="32"/>
          <w:lang w:bidi="ar"/>
          <w14:textFill>
            <w14:solidFill>
              <w14:schemeClr w14:val="tx1"/>
            </w14:solidFill>
          </w14:textFill>
        </w:rPr>
        <w:t>部门预算项目支出绩效自评表（2024年度）</w:t>
      </w:r>
    </w:p>
    <w:p>
      <w:pPr>
        <w:pStyle w:val="8"/>
        <w:spacing w:before="93" w:line="600" w:lineRule="exact"/>
        <w:rPr>
          <w:rFonts w:ascii="Times New Roman" w:cs="宋体"/>
          <w:color w:val="000000" w:themeColor="text1"/>
          <w:sz w:val="32"/>
          <w:szCs w:val="32"/>
          <w:highlight w:val="yellow"/>
          <w:shd w:val="clear" w:color="auto" w:fill="FFFFFF"/>
          <w:lang w:val="zh-CN"/>
          <w14:textFill>
            <w14:solidFill>
              <w14:schemeClr w14:val="tx1"/>
            </w14:solidFill>
          </w14:textFill>
        </w:rPr>
      </w:pPr>
    </w:p>
    <w:p>
      <w:pPr>
        <w:spacing w:line="600" w:lineRule="exact"/>
        <w:rPr>
          <w:rFonts w:eastAsia="黑体" w:cs="黑体"/>
          <w:color w:val="000000" w:themeColor="text1"/>
          <w:kern w:val="0"/>
          <w:sz w:val="32"/>
          <w:szCs w:val="32"/>
          <w:shd w:val="clear" w:color="auto" w:fill="FFFFFF"/>
          <w:lang w:val="zh-CN"/>
          <w14:textFill>
            <w14:solidFill>
              <w14:schemeClr w14:val="tx1"/>
            </w14:solidFill>
          </w14:textFill>
        </w:rPr>
      </w:pPr>
      <w:r>
        <w:rPr>
          <w:rFonts w:hint="eastAsia" w:eastAsia="黑体" w:cs="黑体"/>
          <w:color w:val="000000" w:themeColor="text1"/>
          <w:kern w:val="0"/>
          <w:sz w:val="32"/>
          <w:szCs w:val="32"/>
          <w:shd w:val="clear" w:color="auto" w:fill="FFFFFF"/>
          <w:lang w:val="zh-CN"/>
          <w14:textFill>
            <w14:solidFill>
              <w14:schemeClr w14:val="tx1"/>
            </w14:solidFill>
          </w14:textFill>
        </w:rPr>
        <w:br w:type="page"/>
      </w:r>
    </w:p>
    <w:p>
      <w:pPr>
        <w:pStyle w:val="8"/>
        <w:spacing w:before="93" w:line="600" w:lineRule="exact"/>
        <w:rPr>
          <w:rFonts w:ascii="Times New Roman" w:eastAsia="黑体" w:cs="黑体"/>
          <w:color w:val="000000" w:themeColor="text1"/>
          <w:sz w:val="32"/>
          <w:szCs w:val="32"/>
          <w14:textFill>
            <w14:solidFill>
              <w14:schemeClr w14:val="tx1"/>
            </w14:solidFill>
          </w14:textFill>
        </w:rPr>
      </w:pPr>
      <w:r>
        <w:rPr>
          <w:rFonts w:hint="eastAsia" w:ascii="Times New Roman" w:eastAsia="黑体" w:cs="黑体"/>
          <w:color w:val="000000" w:themeColor="text1"/>
          <w:sz w:val="32"/>
          <w:szCs w:val="32"/>
          <w:shd w:val="clear" w:color="auto" w:fill="FFFFFF"/>
          <w:lang w:val="zh-CN"/>
          <w14:textFill>
            <w14:solidFill>
              <w14:schemeClr w14:val="tx1"/>
            </w14:solidFill>
          </w14:textFill>
        </w:rPr>
        <w:t>附件</w:t>
      </w:r>
      <w:r>
        <w:rPr>
          <w:rFonts w:hint="eastAsia" w:ascii="Times New Roman" w:eastAsia="黑体" w:cs="黑体"/>
          <w:color w:val="000000" w:themeColor="text1"/>
          <w:sz w:val="32"/>
          <w:szCs w:val="32"/>
          <w:shd w:val="clear" w:color="auto" w:fill="FFFFFF"/>
          <w14:textFill>
            <w14:solidFill>
              <w14:schemeClr w14:val="tx1"/>
            </w14:solidFill>
          </w14:textFill>
        </w:rPr>
        <w:t>2</w:t>
      </w:r>
    </w:p>
    <w:p>
      <w:pPr>
        <w:pStyle w:val="34"/>
        <w:spacing w:line="600" w:lineRule="exact"/>
        <w:jc w:val="center"/>
        <w:rPr>
          <w:rFonts w:ascii="Times New Roman" w:hAnsi="Times New Roman" w:eastAsia="方正小标宋简体" w:cs="方正小标宋简体"/>
          <w:color w:val="000000" w:themeColor="text1"/>
          <w:kern w:val="2"/>
          <w:sz w:val="44"/>
          <w:szCs w:val="44"/>
          <w:lang w:val="en-US"/>
          <w14:textFill>
            <w14:solidFill>
              <w14:schemeClr w14:val="tx1"/>
            </w14:solidFill>
          </w14:textFill>
        </w:rPr>
      </w:pPr>
    </w:p>
    <w:p>
      <w:pPr>
        <w:pStyle w:val="34"/>
        <w:spacing w:line="600" w:lineRule="exact"/>
        <w:jc w:val="center"/>
        <w:rPr>
          <w:rFonts w:ascii="Times New Roman" w:hAnsi="Times New Roman" w:eastAsia="方正小标宋简体"/>
          <w:color w:val="000000" w:themeColor="text1"/>
          <w:kern w:val="2"/>
          <w:sz w:val="44"/>
          <w:szCs w:val="44"/>
          <w14:textFill>
            <w14:solidFill>
              <w14:schemeClr w14:val="tx1"/>
            </w14:solidFill>
          </w14:textFill>
        </w:rPr>
      </w:pPr>
      <w:bookmarkStart w:id="53" w:name="OLE_LINK6"/>
      <w:bookmarkStart w:id="54" w:name="OLE_LINK5"/>
      <w:r>
        <w:rPr>
          <w:rFonts w:ascii="Times New Roman" w:hAnsi="Times New Roman" w:eastAsia="方正小标宋简体"/>
          <w:color w:val="000000" w:themeColor="text1"/>
          <w:kern w:val="2"/>
          <w:sz w:val="44"/>
          <w:szCs w:val="44"/>
          <w14:textFill>
            <w14:solidFill>
              <w14:schemeClr w14:val="tx1"/>
            </w14:solidFill>
          </w14:textFill>
        </w:rPr>
        <w:t>攀枝花市粮食质量检验监测中心实验室</w:t>
      </w:r>
    </w:p>
    <w:p>
      <w:pPr>
        <w:pStyle w:val="34"/>
        <w:spacing w:line="600" w:lineRule="exact"/>
        <w:jc w:val="center"/>
        <w:rPr>
          <w:rFonts w:ascii="Times New Roman" w:hAnsi="Times New Roman" w:eastAsia="方正小标宋简体"/>
          <w:color w:val="000000" w:themeColor="text1"/>
          <w:kern w:val="2"/>
          <w:sz w:val="44"/>
          <w:szCs w:val="44"/>
          <w14:textFill>
            <w14:solidFill>
              <w14:schemeClr w14:val="tx1"/>
            </w14:solidFill>
          </w14:textFill>
        </w:rPr>
      </w:pPr>
      <w:r>
        <w:rPr>
          <w:rFonts w:ascii="Times New Roman" w:hAnsi="Times New Roman" w:eastAsia="方正小标宋简体"/>
          <w:color w:val="000000" w:themeColor="text1"/>
          <w:kern w:val="2"/>
          <w:sz w:val="44"/>
          <w:szCs w:val="44"/>
          <w14:textFill>
            <w14:solidFill>
              <w14:schemeClr w14:val="tx1"/>
            </w14:solidFill>
          </w14:textFill>
        </w:rPr>
        <w:t>改造项目专项预算项目绩效</w:t>
      </w:r>
      <w:bookmarkStart w:id="55" w:name="OLE_LINK3"/>
      <w:bookmarkStart w:id="56" w:name="OLE_LINK4"/>
      <w:r>
        <w:rPr>
          <w:rFonts w:ascii="Times New Roman" w:hAnsi="Times New Roman" w:eastAsia="方正小标宋简体"/>
          <w:color w:val="000000" w:themeColor="text1"/>
          <w:kern w:val="2"/>
          <w:sz w:val="44"/>
          <w:szCs w:val="44"/>
          <w14:textFill>
            <w14:solidFill>
              <w14:schemeClr w14:val="tx1"/>
            </w14:solidFill>
          </w14:textFill>
        </w:rPr>
        <w:t>评价报告</w:t>
      </w:r>
      <w:bookmarkEnd w:id="55"/>
      <w:bookmarkEnd w:id="56"/>
    </w:p>
    <w:p>
      <w:pPr>
        <w:pStyle w:val="34"/>
        <w:spacing w:line="600" w:lineRule="exact"/>
        <w:ind w:firstLine="640"/>
        <w:jc w:val="center"/>
        <w:rPr>
          <w:rFonts w:ascii="Times New Roman" w:hAnsi="Times New Roman"/>
          <w:color w:val="000000" w:themeColor="text1"/>
          <w:kern w:val="2"/>
          <w:sz w:val="32"/>
          <w:szCs w:val="32"/>
          <w14:textFill>
            <w14:solidFill>
              <w14:schemeClr w14:val="tx1"/>
            </w14:solidFill>
          </w14:textFill>
        </w:rPr>
      </w:pPr>
    </w:p>
    <w:bookmarkEnd w:id="53"/>
    <w:bookmarkEnd w:id="54"/>
    <w:p>
      <w:pPr>
        <w:adjustRightInd w:val="0"/>
        <w:snapToGrid w:val="0"/>
        <w:spacing w:line="60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一、项目概况</w:t>
      </w:r>
    </w:p>
    <w:p>
      <w:pPr>
        <w:widowControl/>
        <w:adjustRightInd w:val="0"/>
        <w:snapToGrid w:val="0"/>
        <w:spacing w:line="600" w:lineRule="exact"/>
        <w:ind w:firstLine="643" w:firstLineChars="200"/>
        <w:contextualSpacing/>
        <w:rPr>
          <w:rFonts w:eastAsia="仿宋_GB2312"/>
          <w:color w:val="000000" w:themeColor="text1"/>
          <w:kern w:val="0"/>
          <w:sz w:val="32"/>
          <w:szCs w:val="32"/>
          <w:shd w:val="clear" w:color="auto" w:fill="FFFFFF"/>
          <w14:textFill>
            <w14:solidFill>
              <w14:schemeClr w14:val="tx1"/>
            </w14:solidFill>
          </w14:textFill>
        </w:rPr>
      </w:pPr>
      <w:r>
        <w:rPr>
          <w:rFonts w:eastAsia="楷体_GB2312"/>
          <w:b/>
          <w:color w:val="000000" w:themeColor="text1"/>
          <w:sz w:val="32"/>
          <w:szCs w:val="32"/>
          <w14:textFill>
            <w14:solidFill>
              <w14:schemeClr w14:val="tx1"/>
            </w14:solidFill>
          </w14:textFill>
        </w:rPr>
        <w:t>（一）设立背景及基本情况。</w:t>
      </w:r>
      <w:r>
        <w:rPr>
          <w:rFonts w:eastAsia="仿宋_GB2312"/>
          <w:color w:val="000000" w:themeColor="text1"/>
          <w:kern w:val="0"/>
          <w:sz w:val="32"/>
          <w:szCs w:val="32"/>
          <w:shd w:val="clear" w:color="auto" w:fill="FFFFFF"/>
          <w14:textFill>
            <w14:solidFill>
              <w14:schemeClr w14:val="tx1"/>
            </w14:solidFill>
          </w14:textFill>
        </w:rPr>
        <w:t>为解决多年来攀枝花市无独立运行的粮食质量质检机构的历史遗留问题，切实保障攀枝花市粮食质量安全。市政府批示同意，开展实验室建设工作。市财政于2024年2月和8月分别下发《关于下达攀枝花市粮食质量检验监测中心实验室改造项目资金预算的通知》（攀财</w:t>
      </w:r>
      <w:r>
        <w:rPr>
          <w:rFonts w:hint="eastAsia" w:eastAsia="仿宋_GB2312"/>
          <w:color w:val="000000" w:themeColor="text1"/>
          <w:kern w:val="0"/>
          <w:sz w:val="32"/>
          <w:szCs w:val="32"/>
          <w:shd w:val="clear" w:color="auto" w:fill="FFFFFF"/>
          <w14:textFill>
            <w14:solidFill>
              <w14:schemeClr w14:val="tx1"/>
            </w14:solidFill>
          </w14:textFill>
        </w:rPr>
        <w:t>资</w:t>
      </w:r>
      <w:r>
        <w:rPr>
          <w:rFonts w:eastAsia="仿宋_GB2312"/>
          <w:color w:val="000000" w:themeColor="text1"/>
          <w:kern w:val="0"/>
          <w:sz w:val="32"/>
          <w:szCs w:val="32"/>
          <w:shd w:val="clear" w:color="auto" w:fill="FFFFFF"/>
          <w14:textFill>
            <w14:solidFill>
              <w14:schemeClr w14:val="tx1"/>
            </w14:solidFill>
          </w14:textFill>
        </w:rPr>
        <w:t>投〔2024〕15号）和《关于下达市粮食质量检验检测中心建设及运行预算的通知》（攀财</w:t>
      </w:r>
      <w:r>
        <w:rPr>
          <w:rFonts w:hint="eastAsia" w:eastAsia="仿宋_GB2312"/>
          <w:color w:val="000000" w:themeColor="text1"/>
          <w:kern w:val="0"/>
          <w:sz w:val="32"/>
          <w:szCs w:val="32"/>
          <w:shd w:val="clear" w:color="auto" w:fill="FFFFFF"/>
          <w14:textFill>
            <w14:solidFill>
              <w14:schemeClr w14:val="tx1"/>
            </w14:solidFill>
          </w14:textFill>
        </w:rPr>
        <w:t>资</w:t>
      </w:r>
      <w:r>
        <w:rPr>
          <w:rFonts w:eastAsia="仿宋_GB2312"/>
          <w:color w:val="000000" w:themeColor="text1"/>
          <w:kern w:val="0"/>
          <w:sz w:val="32"/>
          <w:szCs w:val="32"/>
          <w:shd w:val="clear" w:color="auto" w:fill="FFFFFF"/>
          <w14:textFill>
            <w14:solidFill>
              <w14:schemeClr w14:val="tx1"/>
            </w14:solidFill>
          </w14:textFill>
        </w:rPr>
        <w:t>投〔2024〕68号），下达预算共计196.3万元。本项目由市发展改革委下属事业单位市重要和应急物资储备中心负责，受委托开展粮油产品质量检验监测工作，并负责实验室的建设工作。</w:t>
      </w:r>
      <w:r>
        <w:rPr>
          <w:rFonts w:hint="eastAsia" w:eastAsia="仿宋_GB2312"/>
          <w:color w:val="000000" w:themeColor="text1"/>
          <w:kern w:val="0"/>
          <w:sz w:val="32"/>
          <w:szCs w:val="32"/>
          <w:shd w:val="clear" w:color="auto" w:fill="FFFFFF"/>
          <w14:textFill>
            <w14:solidFill>
              <w14:schemeClr w14:val="tx1"/>
            </w14:solidFill>
          </w14:textFill>
        </w:rPr>
        <w:t>2024年，实验室改造项目实际执行111.75万元。</w:t>
      </w:r>
    </w:p>
    <w:p>
      <w:pPr>
        <w:adjustRightInd w:val="0"/>
        <w:snapToGrid w:val="0"/>
        <w:spacing w:line="600" w:lineRule="exact"/>
        <w:ind w:firstLine="643" w:firstLineChars="200"/>
        <w:rPr>
          <w:rFonts w:eastAsia="仿宋_GB2312"/>
          <w:color w:val="000000" w:themeColor="text1"/>
          <w:kern w:val="0"/>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（二）实施目的及支持方向。</w:t>
      </w:r>
      <w:r>
        <w:rPr>
          <w:rFonts w:eastAsia="仿宋_GB2312"/>
          <w:color w:val="000000" w:themeColor="text1"/>
          <w:kern w:val="0"/>
          <w:sz w:val="32"/>
          <w:szCs w:val="32"/>
          <w14:textFill>
            <w14:solidFill>
              <w14:schemeClr w14:val="tx1"/>
            </w14:solidFill>
          </w14:textFill>
        </w:rPr>
        <w:t>依据《攀枝花市本级政府投资管理实施细则》（攀府规〔2023〕2号）等文件要求管理资金。为保障攀枝花市粮食质量安全，根据省上对粮食质量安全保障能力建设的要求，通过市级财政支持，按照专款专用方式用于实验室建设。</w:t>
      </w:r>
    </w:p>
    <w:p>
      <w:pPr>
        <w:widowControl/>
        <w:adjustRightInd w:val="0"/>
        <w:snapToGrid w:val="0"/>
        <w:spacing w:line="600" w:lineRule="exact"/>
        <w:ind w:firstLine="643" w:firstLineChars="200"/>
        <w:contextualSpacing/>
        <w:rPr>
          <w:rFonts w:eastAsia="仿宋_GB2312"/>
          <w:color w:val="000000" w:themeColor="text1"/>
          <w:kern w:val="0"/>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（三）预算安排及分配管理。</w:t>
      </w:r>
      <w:r>
        <w:rPr>
          <w:rFonts w:hint="eastAsia" w:eastAsia="仿宋_GB2312"/>
          <w:color w:val="000000" w:themeColor="text1"/>
          <w:kern w:val="0"/>
          <w:sz w:val="32"/>
          <w:szCs w:val="32"/>
          <w14:textFill>
            <w14:solidFill>
              <w14:schemeClr w14:val="tx1"/>
            </w14:solidFill>
          </w14:textFill>
        </w:rPr>
        <w:t>项目预算安排196.3万元，实际执行111.75万元，其中</w:t>
      </w:r>
      <w:r>
        <w:rPr>
          <w:rFonts w:hint="eastAsia" w:eastAsia="仿宋_GB2312"/>
          <w:color w:val="000000" w:themeColor="text1"/>
          <w:kern w:val="0"/>
          <w:sz w:val="32"/>
          <w:szCs w:val="32"/>
          <w:shd w:val="clear" w:color="auto" w:fill="FFFFFF"/>
          <w14:textFill>
            <w14:solidFill>
              <w14:schemeClr w14:val="tx1"/>
            </w14:solidFill>
          </w14:textFill>
        </w:rPr>
        <w:t>，实验室改造工程费用执行109.83万元，项目设计费、造价费、专家评审费等二类费用分别执行1.36万元、0.38万元、0.18万元。</w:t>
      </w:r>
    </w:p>
    <w:p>
      <w:pPr>
        <w:adjustRightInd w:val="0"/>
        <w:snapToGrid w:val="0"/>
        <w:spacing w:line="600" w:lineRule="exact"/>
        <w:ind w:firstLine="643" w:firstLineChars="200"/>
        <w:rPr>
          <w:rFonts w:eastAsia="仿宋_GB2312"/>
          <w:color w:val="000000" w:themeColor="text1"/>
          <w:kern w:val="0"/>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（四）项目绩效目标设置。</w:t>
      </w:r>
      <w:r>
        <w:rPr>
          <w:rFonts w:hint="eastAsia" w:eastAsia="仿宋_GB2312"/>
          <w:color w:val="000000" w:themeColor="text1"/>
          <w:kern w:val="0"/>
          <w:sz w:val="32"/>
          <w:szCs w:val="32"/>
          <w14:textFill>
            <w14:solidFill>
              <w14:schemeClr w14:val="tx1"/>
            </w14:solidFill>
          </w14:textFill>
        </w:rPr>
        <w:t>严格按照政府采购流程完成项目招标，</w:t>
      </w:r>
      <w:r>
        <w:rPr>
          <w:rFonts w:eastAsia="仿宋_GB2312"/>
          <w:color w:val="000000" w:themeColor="text1"/>
          <w:kern w:val="0"/>
          <w:sz w:val="32"/>
          <w:szCs w:val="32"/>
          <w14:textFill>
            <w14:solidFill>
              <w14:schemeClr w14:val="tx1"/>
            </w14:solidFill>
          </w14:textFill>
        </w:rPr>
        <w:t>2024年11月启动</w:t>
      </w:r>
      <w:r>
        <w:rPr>
          <w:rFonts w:hint="eastAsia" w:eastAsia="仿宋_GB2312"/>
          <w:color w:val="000000" w:themeColor="text1"/>
          <w:kern w:val="0"/>
          <w:sz w:val="32"/>
          <w:szCs w:val="32"/>
          <w14:textFill>
            <w14:solidFill>
              <w14:schemeClr w14:val="tx1"/>
            </w14:solidFill>
          </w14:textFill>
        </w:rPr>
        <w:t>实验室改造项目建设</w:t>
      </w:r>
      <w:r>
        <w:rPr>
          <w:rFonts w:eastAsia="仿宋_GB2312"/>
          <w:color w:val="000000" w:themeColor="text1"/>
          <w:kern w:val="0"/>
          <w:sz w:val="32"/>
          <w:szCs w:val="32"/>
          <w14:textFill>
            <w14:solidFill>
              <w14:schemeClr w14:val="tx1"/>
            </w14:solidFill>
          </w14:textFill>
        </w:rPr>
        <w:t>工作，于2025年3月完成改造。</w:t>
      </w:r>
    </w:p>
    <w:p>
      <w:pPr>
        <w:adjustRightInd w:val="0"/>
        <w:snapToGrid w:val="0"/>
        <w:spacing w:line="60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二、评价实施</w:t>
      </w:r>
    </w:p>
    <w:p>
      <w:pPr>
        <w:spacing w:line="600" w:lineRule="exact"/>
        <w:ind w:firstLine="640"/>
        <w:rPr>
          <w:rFonts w:eastAsia="仿宋_GB2312"/>
          <w:color w:val="000000" w:themeColor="text1"/>
          <w:kern w:val="0"/>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（一）评价目的。</w:t>
      </w:r>
      <w:r>
        <w:rPr>
          <w:rFonts w:eastAsia="仿宋_GB2312"/>
          <w:color w:val="000000" w:themeColor="text1"/>
          <w:kern w:val="0"/>
          <w:sz w:val="32"/>
          <w:szCs w:val="32"/>
          <w14:textFill>
            <w14:solidFill>
              <w14:schemeClr w14:val="tx1"/>
            </w14:solidFill>
          </w14:textFill>
        </w:rPr>
        <w:t>本次攀枝花市粮食质量检验监测中心实验室改造项目绩效自评，旨在全面、客观、准确地评估该项目财政资金的使用效益、管理水平及项目实施成效。通过自评，</w:t>
      </w:r>
      <w:r>
        <w:rPr>
          <w:rFonts w:hint="eastAsia" w:eastAsia="仿宋_GB2312"/>
          <w:color w:val="000000" w:themeColor="text1"/>
          <w:kern w:val="0"/>
          <w:sz w:val="32"/>
          <w:szCs w:val="32"/>
          <w14:textFill>
            <w14:solidFill>
              <w14:schemeClr w14:val="tx1"/>
            </w14:solidFill>
          </w14:textFill>
        </w:rPr>
        <w:t>确保项目</w:t>
      </w:r>
      <w:r>
        <w:rPr>
          <w:rFonts w:eastAsia="仿宋_GB2312"/>
          <w:color w:val="000000" w:themeColor="text1"/>
          <w:kern w:val="0"/>
          <w:sz w:val="32"/>
          <w:szCs w:val="32"/>
          <w14:textFill>
            <w14:solidFill>
              <w14:schemeClr w14:val="tx1"/>
            </w14:solidFill>
          </w14:textFill>
        </w:rPr>
        <w:t>严格按照既定规划和预算执行，</w:t>
      </w:r>
      <w:r>
        <w:rPr>
          <w:rFonts w:hint="eastAsia" w:eastAsia="仿宋_GB2312"/>
          <w:color w:val="000000" w:themeColor="text1"/>
          <w:kern w:val="0"/>
          <w:sz w:val="32"/>
          <w:szCs w:val="32"/>
          <w14:textFill>
            <w14:solidFill>
              <w14:schemeClr w14:val="tx1"/>
            </w14:solidFill>
          </w14:textFill>
        </w:rPr>
        <w:t>做到</w:t>
      </w:r>
      <w:r>
        <w:rPr>
          <w:rFonts w:eastAsia="仿宋_GB2312"/>
          <w:color w:val="000000" w:themeColor="text1"/>
          <w:kern w:val="0"/>
          <w:sz w:val="32"/>
          <w:szCs w:val="32"/>
          <w14:textFill>
            <w14:solidFill>
              <w14:schemeClr w14:val="tx1"/>
            </w14:solidFill>
          </w14:textFill>
        </w:rPr>
        <w:t>财政资金专款专用、规范支出，杜绝资金浪费、挪用等违规现象，提升资金使用的安全性和有效性。</w:t>
      </w:r>
    </w:p>
    <w:p>
      <w:pPr>
        <w:adjustRightInd w:val="0"/>
        <w:snapToGrid w:val="0"/>
        <w:spacing w:line="600" w:lineRule="exact"/>
        <w:ind w:firstLine="643" w:firstLineChars="200"/>
        <w:rPr>
          <w:rFonts w:eastAsia="仿宋_GB2312"/>
          <w:color w:val="000000" w:themeColor="text1"/>
          <w:kern w:val="0"/>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（二）预设问题及评价重点。</w:t>
      </w:r>
      <w:r>
        <w:rPr>
          <w:rFonts w:hint="eastAsia" w:eastAsia="仿宋_GB2312"/>
          <w:color w:val="000000" w:themeColor="text1"/>
          <w:kern w:val="0"/>
          <w:sz w:val="32"/>
          <w:szCs w:val="32"/>
          <w14:textFill>
            <w14:solidFill>
              <w14:schemeClr w14:val="tx1"/>
            </w14:solidFill>
          </w14:textFill>
        </w:rPr>
        <w:t>本项目预算资金用于攀枝花市粮食质量检验监测中心实验室改造项目建设，全年预算196.3万元，为跨年度建设项目，实际执行111.75万元，与项目进度安排相符，支付进度和支付依据合法合规。</w:t>
      </w:r>
    </w:p>
    <w:p>
      <w:pPr>
        <w:spacing w:line="600" w:lineRule="exact"/>
        <w:ind w:firstLine="640"/>
        <w:rPr>
          <w:rFonts w:eastAsia="仿宋_GB2312"/>
          <w:color w:val="000000" w:themeColor="text1"/>
          <w:kern w:val="0"/>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（三）评价选点。</w:t>
      </w:r>
      <w:r>
        <w:rPr>
          <w:rFonts w:eastAsia="仿宋_GB2312"/>
          <w:color w:val="000000" w:themeColor="text1"/>
          <w:kern w:val="0"/>
          <w:sz w:val="32"/>
          <w:szCs w:val="32"/>
          <w14:textFill>
            <w14:solidFill>
              <w14:schemeClr w14:val="tx1"/>
            </w14:solidFill>
          </w14:textFill>
        </w:rPr>
        <w:t>结合项目实际特点，选取项目建设所在地攀枝花市粮食质量检验监测中心实验室作为核心评价点位，具体评价理由及内容见下表。</w:t>
      </w:r>
    </w:p>
    <w:tbl>
      <w:tblPr>
        <w:tblStyle w:val="15"/>
        <w:tblW w:w="9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3800"/>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2062" w:type="dxa"/>
            <w:tcBorders>
              <w:top w:val="single" w:color="auto" w:sz="4" w:space="0"/>
              <w:left w:val="single" w:color="auto" w:sz="4" w:space="0"/>
              <w:bottom w:val="single" w:color="auto" w:sz="4" w:space="0"/>
              <w:right w:val="single" w:color="auto" w:sz="4" w:space="0"/>
            </w:tcBorders>
            <w:noWrap/>
            <w:vAlign w:val="center"/>
          </w:tcPr>
          <w:p>
            <w:pPr>
              <w:spacing w:line="578" w:lineRule="exact"/>
              <w:jc w:val="center"/>
              <w:rPr>
                <w:rFonts w:eastAsia="仿宋_GB2312"/>
                <w:bCs/>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点位名称</w:t>
            </w:r>
          </w:p>
        </w:tc>
        <w:tc>
          <w:tcPr>
            <w:tcW w:w="3800" w:type="dxa"/>
            <w:tcBorders>
              <w:top w:val="single" w:color="auto" w:sz="4" w:space="0"/>
              <w:left w:val="single" w:color="auto" w:sz="4" w:space="0"/>
              <w:bottom w:val="single" w:color="auto" w:sz="4" w:space="0"/>
              <w:right w:val="single" w:color="auto" w:sz="4" w:space="0"/>
            </w:tcBorders>
            <w:noWrap/>
            <w:vAlign w:val="center"/>
          </w:tcPr>
          <w:p>
            <w:pPr>
              <w:spacing w:line="578" w:lineRule="exact"/>
              <w:jc w:val="center"/>
              <w:rPr>
                <w:rFonts w:eastAsia="仿宋_GB2312"/>
                <w:bCs/>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选取理由</w:t>
            </w:r>
          </w:p>
        </w:tc>
        <w:tc>
          <w:tcPr>
            <w:tcW w:w="3475" w:type="dxa"/>
            <w:tcBorders>
              <w:top w:val="single" w:color="auto" w:sz="4" w:space="0"/>
              <w:left w:val="single" w:color="auto" w:sz="4" w:space="0"/>
              <w:bottom w:val="single" w:color="auto" w:sz="4" w:space="0"/>
              <w:right w:val="single" w:color="auto" w:sz="4" w:space="0"/>
            </w:tcBorders>
            <w:noWrap/>
            <w:vAlign w:val="center"/>
          </w:tcPr>
          <w:p>
            <w:pPr>
              <w:spacing w:line="578" w:lineRule="exact"/>
              <w:jc w:val="center"/>
              <w:rPr>
                <w:rFonts w:eastAsia="仿宋_GB2312"/>
                <w:bCs/>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主要评价内容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2" w:type="dxa"/>
            <w:tcBorders>
              <w:top w:val="single" w:color="auto" w:sz="4" w:space="0"/>
              <w:left w:val="single" w:color="auto" w:sz="4" w:space="0"/>
              <w:bottom w:val="single" w:color="auto" w:sz="4" w:space="0"/>
              <w:right w:val="single" w:color="auto" w:sz="4" w:space="0"/>
            </w:tcBorders>
            <w:noWrap/>
            <w:vAlign w:val="center"/>
          </w:tcPr>
          <w:p>
            <w:pPr>
              <w:spacing w:line="578" w:lineRule="exact"/>
              <w:jc w:val="center"/>
              <w:rPr>
                <w:rFonts w:eastAsia="仿宋_GB2312"/>
                <w:bCs/>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攀枝花市粮食质量检验监测中心实验室</w:t>
            </w:r>
          </w:p>
        </w:tc>
        <w:tc>
          <w:tcPr>
            <w:tcW w:w="3800" w:type="dxa"/>
            <w:tcBorders>
              <w:top w:val="single" w:color="auto" w:sz="4" w:space="0"/>
              <w:left w:val="single" w:color="auto" w:sz="4" w:space="0"/>
              <w:bottom w:val="single" w:color="auto" w:sz="4" w:space="0"/>
              <w:right w:val="single" w:color="auto" w:sz="4" w:space="0"/>
            </w:tcBorders>
            <w:noWrap/>
            <w:vAlign w:val="center"/>
          </w:tcPr>
          <w:p>
            <w:pPr>
              <w:spacing w:line="578" w:lineRule="exact"/>
              <w:jc w:val="center"/>
              <w:rPr>
                <w:rFonts w:eastAsia="仿宋_GB2312"/>
                <w:bCs/>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项目建设主体所在地，是项目实施和功能实现的核心场所，能直接反映项目建设质量和成效</w:t>
            </w:r>
          </w:p>
        </w:tc>
        <w:tc>
          <w:tcPr>
            <w:tcW w:w="3475" w:type="dxa"/>
            <w:tcBorders>
              <w:top w:val="single" w:color="auto" w:sz="4" w:space="0"/>
              <w:left w:val="single" w:color="auto" w:sz="4" w:space="0"/>
              <w:bottom w:val="single" w:color="auto" w:sz="4" w:space="0"/>
              <w:right w:val="single" w:color="auto" w:sz="4" w:space="0"/>
            </w:tcBorders>
            <w:noWrap/>
            <w:vAlign w:val="center"/>
          </w:tcPr>
          <w:p>
            <w:pPr>
              <w:spacing w:line="578" w:lineRule="exact"/>
              <w:jc w:val="center"/>
              <w:rPr>
                <w:rFonts w:eastAsia="仿宋_GB2312"/>
                <w:bCs/>
                <w:color w:val="000000" w:themeColor="text1"/>
                <w:sz w:val="28"/>
                <w:szCs w:val="28"/>
                <w14:textFill>
                  <w14:solidFill>
                    <w14:schemeClr w14:val="tx1"/>
                  </w14:solidFill>
                </w14:textFill>
              </w:rPr>
            </w:pPr>
            <w:r>
              <w:rPr>
                <w:rFonts w:eastAsia="仿宋_GB2312"/>
                <w:bCs/>
                <w:color w:val="000000" w:themeColor="text1"/>
                <w:sz w:val="28"/>
                <w:szCs w:val="28"/>
                <w14:textFill>
                  <w14:solidFill>
                    <w14:schemeClr w14:val="tx1"/>
                  </w14:solidFill>
                </w14:textFill>
              </w:rPr>
              <w:t>实验室改造工程质量、设备配置与使用情况、检验检测能力提升效果、资金使用情况、项目管理情况等</w:t>
            </w:r>
          </w:p>
        </w:tc>
      </w:tr>
    </w:tbl>
    <w:p>
      <w:pPr>
        <w:spacing w:line="600" w:lineRule="exact"/>
        <w:ind w:firstLine="0"/>
        <w:rPr>
          <w:rFonts w:eastAsia="仿宋_GB2312"/>
          <w:b/>
          <w:color w:val="000000" w:themeColor="text1"/>
          <w:sz w:val="32"/>
          <w:szCs w:val="32"/>
          <w14:textFill>
            <w14:solidFill>
              <w14:schemeClr w14:val="tx1"/>
            </w14:solidFill>
          </w14:textFill>
        </w:rPr>
      </w:pPr>
    </w:p>
    <w:p>
      <w:pPr>
        <w:suppressAutoHyphens/>
        <w:autoSpaceDN w:val="0"/>
        <w:snapToGrid w:val="0"/>
        <w:spacing w:line="600" w:lineRule="exact"/>
        <w:ind w:firstLine="643" w:firstLineChars="200"/>
        <w:rPr>
          <w:rFonts w:eastAsia="仿宋_GB2312"/>
          <w:color w:val="000000" w:themeColor="text1"/>
          <w:kern w:val="0"/>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（四）评价方法。</w:t>
      </w:r>
      <w:r>
        <w:rPr>
          <w:rFonts w:eastAsia="仿宋_GB2312"/>
          <w:color w:val="000000" w:themeColor="text1"/>
          <w:kern w:val="0"/>
          <w:sz w:val="32"/>
          <w:szCs w:val="32"/>
          <w14:textFill>
            <w14:solidFill>
              <w14:schemeClr w14:val="tx1"/>
            </w14:solidFill>
          </w14:textFill>
        </w:rPr>
        <w:t>项目绩效自评采用定量分析（资金使用率、完成率）与定性分析（满意度调查）相结合。</w:t>
      </w:r>
      <w:r>
        <w:rPr>
          <w:rFonts w:ascii="仿宋_GB2312" w:eastAsia="仿宋_GB2312" w:cs="仿宋_GB2312"/>
          <w:color w:val="000000" w:themeColor="text1"/>
          <w:kern w:val="0"/>
          <w:sz w:val="32"/>
          <w:szCs w:val="32"/>
          <w:lang w:val="zh-CN"/>
          <w14:textFill>
            <w14:solidFill>
              <w14:schemeClr w14:val="tx1"/>
            </w14:solidFill>
          </w14:textFill>
        </w:rPr>
        <w:t>收集相关资料，综合分析相关情况后，对项目的立项必要性、投入经济性、目标合理性、方案可行性以及筹资合规性实施</w:t>
      </w:r>
      <w:r>
        <w:rPr>
          <w:rFonts w:hint="eastAsia" w:ascii="仿宋_GB2312" w:eastAsia="仿宋_GB2312" w:cs="仿宋_GB2312"/>
          <w:color w:val="000000" w:themeColor="text1"/>
          <w:kern w:val="0"/>
          <w:sz w:val="32"/>
          <w:szCs w:val="32"/>
          <w:lang w:val="zh-CN"/>
          <w14:textFill>
            <w14:solidFill>
              <w14:schemeClr w14:val="tx1"/>
            </w14:solidFill>
          </w14:textFill>
        </w:rPr>
        <w:t>了事前绩效评估。</w:t>
      </w:r>
    </w:p>
    <w:p>
      <w:pPr>
        <w:spacing w:line="600" w:lineRule="exact"/>
        <w:ind w:firstLine="640"/>
        <w:rPr>
          <w:rFonts w:eastAsia="仿宋_GB2312"/>
          <w:bCs/>
          <w:color w:val="000000" w:themeColor="text1"/>
          <w14:textFill>
            <w14:solidFill>
              <w14:schemeClr w14:val="tx1"/>
            </w14:solidFill>
          </w14:textFill>
        </w:rPr>
      </w:pPr>
      <w:r>
        <w:rPr>
          <w:rFonts w:eastAsia="楷体_GB2312"/>
          <w:b/>
          <w:color w:val="000000" w:themeColor="text1"/>
          <w:sz w:val="32"/>
          <w:szCs w:val="32"/>
          <w14:textFill>
            <w14:solidFill>
              <w14:schemeClr w14:val="tx1"/>
            </w14:solidFill>
          </w14:textFill>
        </w:rPr>
        <w:t>（五）评价组织。</w:t>
      </w:r>
      <w:r>
        <w:rPr>
          <w:rFonts w:eastAsia="仿宋_GB2312"/>
          <w:color w:val="000000" w:themeColor="text1"/>
          <w:kern w:val="0"/>
          <w:sz w:val="32"/>
          <w:szCs w:val="32"/>
          <w14:textFill>
            <w14:solidFill>
              <w14:schemeClr w14:val="tx1"/>
            </w14:solidFill>
          </w14:textFill>
        </w:rPr>
        <w:t>评价组</w:t>
      </w:r>
      <w:r>
        <w:rPr>
          <w:rFonts w:hint="eastAsia" w:eastAsia="仿宋_GB2312"/>
          <w:color w:val="000000" w:themeColor="text1"/>
          <w:kern w:val="0"/>
          <w:sz w:val="32"/>
          <w:szCs w:val="32"/>
          <w14:textFill>
            <w14:solidFill>
              <w14:schemeClr w14:val="tx1"/>
            </w14:solidFill>
          </w14:textFill>
        </w:rPr>
        <w:t>为项目实施主体市重要和应急物资储备中心。</w:t>
      </w:r>
    </w:p>
    <w:p>
      <w:pPr>
        <w:adjustRightInd w:val="0"/>
        <w:snapToGrid w:val="0"/>
        <w:spacing w:line="600" w:lineRule="exact"/>
        <w:ind w:firstLine="640" w:firstLineChars="200"/>
        <w:rPr>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三、绩效分析</w:t>
      </w:r>
    </w:p>
    <w:p>
      <w:pPr>
        <w:spacing w:line="600" w:lineRule="exact"/>
        <w:ind w:firstLine="64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根据项目预算绩效评价指标体系通用指标、专用指标、个性指标涉及二、三级指标进行逐项绩效分析并评分。</w:t>
      </w:r>
    </w:p>
    <w:p>
      <w:pPr>
        <w:spacing w:line="600" w:lineRule="exact"/>
        <w:ind w:firstLine="64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（一）通用指标</w:t>
      </w:r>
      <w:r>
        <w:rPr>
          <w:rFonts w:eastAsia="楷体_GB2312"/>
          <w:b/>
          <w:bCs/>
          <w:color w:val="000000" w:themeColor="text1"/>
          <w:kern w:val="0"/>
          <w:sz w:val="32"/>
          <w:szCs w:val="32"/>
          <w:shd w:val="clear" w:color="auto" w:fill="FFFFFF"/>
          <w14:textFill>
            <w14:solidFill>
              <w14:schemeClr w14:val="tx1"/>
            </w14:solidFill>
          </w14:textFill>
        </w:rPr>
        <w:t>绩效分析。</w:t>
      </w:r>
    </w:p>
    <w:p>
      <w:pPr>
        <w:suppressAutoHyphens/>
        <w:autoSpaceDN w:val="0"/>
        <w:spacing w:line="600" w:lineRule="exact"/>
        <w:ind w:firstLine="64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1.项目决策。</w:t>
      </w:r>
      <w:r>
        <w:rPr>
          <w:rFonts w:hint="eastAsia" w:eastAsia="仿宋_GB2312"/>
          <w:color w:val="000000" w:themeColor="text1"/>
          <w:kern w:val="0"/>
          <w:sz w:val="32"/>
          <w:szCs w:val="32"/>
          <w14:textFill>
            <w14:solidFill>
              <w14:schemeClr w14:val="tx1"/>
            </w14:solidFill>
          </w14:textFill>
        </w:rPr>
        <w:t>2024年，市发展改革委会同市财政局向市政府报送《关于调整攀枝花市粮食质量检验监测中心实验室改造项目经费预算的请示》（攀发改〔2024〕172号），经市政府同意，市财政安排项目建设经费196.3万元，其中，项目工程费用187.71万元，二类费用8.59万元。</w:t>
      </w:r>
    </w:p>
    <w:p>
      <w:pPr>
        <w:spacing w:line="600" w:lineRule="exact"/>
        <w:ind w:firstLine="64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2.项目管理。</w:t>
      </w:r>
      <w:r>
        <w:rPr>
          <w:rFonts w:hint="eastAsia" w:eastAsia="仿宋_GB2312"/>
          <w:color w:val="000000" w:themeColor="text1"/>
          <w:kern w:val="0"/>
          <w:sz w:val="32"/>
          <w:szCs w:val="32"/>
          <w14:textFill>
            <w14:solidFill>
              <w14:schemeClr w14:val="tx1"/>
            </w14:solidFill>
          </w14:textFill>
        </w:rPr>
        <w:t>项目严格按照政府采购法律法规开展招标和建设工作。项目建设按照计划有序推进，2024年度完成了相应工作。项目资金严格按照项目进度和合同约定执行。</w:t>
      </w:r>
    </w:p>
    <w:p>
      <w:pPr>
        <w:spacing w:line="600" w:lineRule="exact"/>
        <w:ind w:firstLine="64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3.项目实施。各项目按照部门预算绩效目标推进各项专项工作，实时监控部门预算执行情况，各项目的产出指标、效益指标、满意度指标均全面完成，并已按照市财政局要求强化绩效管理理念，秉承客观公正、实事求是的原则开展了单位自评工作。</w:t>
      </w:r>
    </w:p>
    <w:p>
      <w:pPr>
        <w:spacing w:line="600" w:lineRule="exact"/>
        <w:ind w:firstLine="64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4.项目结果。实验室改造项目计划于2025年1月完成，</w:t>
      </w:r>
      <w:r>
        <w:rPr>
          <w:rFonts w:hint="eastAsia" w:eastAsia="仿宋_GB2312"/>
          <w:color w:val="000000" w:themeColor="text1"/>
          <w:kern w:val="0"/>
          <w:sz w:val="32"/>
          <w:szCs w:val="32"/>
          <w14:textFill>
            <w14:solidFill>
              <w14:schemeClr w14:val="tx1"/>
            </w14:solidFill>
          </w14:textFill>
        </w:rPr>
        <w:t>因节假日等因素，</w:t>
      </w:r>
      <w:r>
        <w:rPr>
          <w:rFonts w:eastAsia="仿宋_GB2312"/>
          <w:color w:val="000000" w:themeColor="text1"/>
          <w:kern w:val="0"/>
          <w:sz w:val="32"/>
          <w:szCs w:val="32"/>
          <w14:textFill>
            <w14:solidFill>
              <w14:schemeClr w14:val="tx1"/>
            </w14:solidFill>
          </w14:textFill>
        </w:rPr>
        <w:t>实际于</w:t>
      </w:r>
      <w:r>
        <w:rPr>
          <w:rFonts w:hint="eastAsia" w:eastAsia="仿宋_GB2312"/>
          <w:color w:val="000000" w:themeColor="text1"/>
          <w:kern w:val="0"/>
          <w:sz w:val="32"/>
          <w:szCs w:val="32"/>
          <w14:textFill>
            <w14:solidFill>
              <w14:schemeClr w14:val="tx1"/>
            </w14:solidFill>
          </w14:textFill>
        </w:rPr>
        <w:t>2025年</w:t>
      </w:r>
      <w:r>
        <w:rPr>
          <w:rFonts w:eastAsia="仿宋_GB2312"/>
          <w:color w:val="000000" w:themeColor="text1"/>
          <w:kern w:val="0"/>
          <w:sz w:val="32"/>
          <w:szCs w:val="32"/>
          <w14:textFill>
            <w14:solidFill>
              <w14:schemeClr w14:val="tx1"/>
            </w14:solidFill>
          </w14:textFill>
        </w:rPr>
        <w:t>3月完成</w:t>
      </w:r>
      <w:r>
        <w:rPr>
          <w:rFonts w:hint="eastAsia" w:eastAsia="仿宋_GB2312"/>
          <w:color w:val="000000" w:themeColor="text1"/>
          <w:kern w:val="0"/>
          <w:sz w:val="32"/>
          <w:szCs w:val="32"/>
          <w14:textFill>
            <w14:solidFill>
              <w14:schemeClr w14:val="tx1"/>
            </w14:solidFill>
          </w14:textFill>
        </w:rPr>
        <w:t>。</w:t>
      </w:r>
    </w:p>
    <w:p>
      <w:pPr>
        <w:spacing w:line="600" w:lineRule="exact"/>
        <w:ind w:firstLine="640"/>
        <w:rPr>
          <w:rFonts w:eastAsia="仿宋_GB2312"/>
          <w:color w:val="000000" w:themeColor="text1"/>
          <w:kern w:val="0"/>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（二）专用指标</w:t>
      </w:r>
      <w:r>
        <w:rPr>
          <w:rFonts w:eastAsia="楷体_GB2312"/>
          <w:b/>
          <w:bCs/>
          <w:color w:val="000000" w:themeColor="text1"/>
          <w:kern w:val="0"/>
          <w:sz w:val="32"/>
          <w:szCs w:val="32"/>
          <w:shd w:val="clear" w:color="auto" w:fill="FFFFFF"/>
          <w14:textFill>
            <w14:solidFill>
              <w14:schemeClr w14:val="tx1"/>
            </w14:solidFill>
          </w14:textFill>
        </w:rPr>
        <w:t>绩效分析。</w:t>
      </w:r>
      <w:r>
        <w:rPr>
          <w:rFonts w:eastAsia="仿宋_GB2312"/>
          <w:color w:val="000000" w:themeColor="text1"/>
          <w:kern w:val="0"/>
          <w:sz w:val="32"/>
          <w:szCs w:val="32"/>
          <w14:textFill>
            <w14:solidFill>
              <w14:schemeClr w14:val="tx1"/>
            </w14:solidFill>
          </w14:textFill>
        </w:rPr>
        <w:t>攀枝花市粮食质量检验监测中心实验室改造项目已</w:t>
      </w:r>
      <w:r>
        <w:rPr>
          <w:rFonts w:hint="eastAsia" w:eastAsia="仿宋_GB2312"/>
          <w:color w:val="000000" w:themeColor="text1"/>
          <w:kern w:val="0"/>
          <w:sz w:val="32"/>
          <w:szCs w:val="32"/>
          <w14:textFill>
            <w14:solidFill>
              <w14:schemeClr w14:val="tx1"/>
            </w14:solidFill>
          </w14:textFill>
        </w:rPr>
        <w:t>于2025年3月</w:t>
      </w:r>
      <w:r>
        <w:rPr>
          <w:rFonts w:eastAsia="仿宋_GB2312"/>
          <w:color w:val="000000" w:themeColor="text1"/>
          <w:kern w:val="0"/>
          <w:sz w:val="32"/>
          <w:szCs w:val="32"/>
          <w14:textFill>
            <w14:solidFill>
              <w14:schemeClr w14:val="tx1"/>
            </w14:solidFill>
          </w14:textFill>
        </w:rPr>
        <w:t>完成建设并</w:t>
      </w:r>
      <w:r>
        <w:rPr>
          <w:rFonts w:hint="eastAsia" w:eastAsia="仿宋_GB2312"/>
          <w:color w:val="000000" w:themeColor="text1"/>
          <w:kern w:val="0"/>
          <w:sz w:val="32"/>
          <w:szCs w:val="32"/>
          <w14:textFill>
            <w14:solidFill>
              <w14:schemeClr w14:val="tx1"/>
            </w14:solidFill>
          </w14:textFill>
        </w:rPr>
        <w:t>竣工验收，工程进度基本符合预期计划，资金拨付根据合同约定和资金到位情况及时拨付。建成后的实验室基本能满足粮食质量检验监测需求，后续需不定期检查实验室主体质量情况，并在质保期对可能存在的问题进行及时整改。</w:t>
      </w:r>
    </w:p>
    <w:p>
      <w:pPr>
        <w:spacing w:line="600" w:lineRule="exact"/>
        <w:ind w:firstLine="640"/>
        <w:rPr>
          <w:rFonts w:eastAsia="仿宋_GB2312"/>
          <w:color w:val="000000" w:themeColor="text1"/>
          <w:kern w:val="0"/>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（三）个性指标</w:t>
      </w:r>
      <w:r>
        <w:rPr>
          <w:rFonts w:eastAsia="楷体_GB2312"/>
          <w:b/>
          <w:bCs/>
          <w:color w:val="000000" w:themeColor="text1"/>
          <w:kern w:val="0"/>
          <w:sz w:val="32"/>
          <w:szCs w:val="32"/>
          <w:shd w:val="clear" w:color="auto" w:fill="FFFFFF"/>
          <w14:textFill>
            <w14:solidFill>
              <w14:schemeClr w14:val="tx1"/>
            </w14:solidFill>
          </w14:textFill>
        </w:rPr>
        <w:t>绩效分析。</w:t>
      </w:r>
      <w:r>
        <w:rPr>
          <w:rFonts w:hint="eastAsia" w:eastAsia="仿宋_GB2312"/>
          <w:color w:val="000000" w:themeColor="text1"/>
          <w:kern w:val="0"/>
          <w:sz w:val="32"/>
          <w:szCs w:val="32"/>
          <w14:textFill>
            <w14:solidFill>
              <w14:schemeClr w14:val="tx1"/>
            </w14:solidFill>
          </w14:textFill>
        </w:rPr>
        <w:t>无</w:t>
      </w:r>
      <w:r>
        <w:rPr>
          <w:rFonts w:eastAsia="仿宋_GB2312"/>
          <w:color w:val="000000" w:themeColor="text1"/>
          <w:kern w:val="0"/>
          <w:sz w:val="32"/>
          <w:szCs w:val="32"/>
          <w14:textFill>
            <w14:solidFill>
              <w14:schemeClr w14:val="tx1"/>
            </w14:solidFill>
          </w14:textFill>
        </w:rPr>
        <w:t>。</w:t>
      </w:r>
    </w:p>
    <w:p>
      <w:pPr>
        <w:spacing w:line="600" w:lineRule="exact"/>
        <w:ind w:firstLine="640"/>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四、评价结论</w:t>
      </w:r>
    </w:p>
    <w:p>
      <w:pPr>
        <w:spacing w:line="600" w:lineRule="exact"/>
        <w:ind w:firstLine="64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该项目管理合理，管理程序等合法合规，项目完成度100%，项目经济效益、社会效益、质量、时效等符合预期。为攀枝花市粮食质量的安全监测提供了保障，为攀枝花市粮食质量的检验监测水平的提升奠定了基础，为社会的稳定性发展提供了强有力的后盾支撑。</w:t>
      </w:r>
    </w:p>
    <w:p>
      <w:pPr>
        <w:spacing w:line="600" w:lineRule="exact"/>
        <w:ind w:firstLine="640"/>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五、存在主要问题</w:t>
      </w:r>
    </w:p>
    <w:p>
      <w:pPr>
        <w:spacing w:line="600" w:lineRule="exact"/>
        <w:ind w:firstLine="64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无。</w:t>
      </w:r>
    </w:p>
    <w:p>
      <w:pPr>
        <w:spacing w:line="600" w:lineRule="exact"/>
        <w:ind w:firstLine="640"/>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六、改进建议</w:t>
      </w:r>
    </w:p>
    <w:p>
      <w:pPr>
        <w:spacing w:line="600" w:lineRule="exact"/>
        <w:ind w:firstLine="64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无。</w:t>
      </w:r>
    </w:p>
    <w:p>
      <w:pPr>
        <w:spacing w:line="600" w:lineRule="exact"/>
        <w:rPr>
          <w:color w:val="000000" w:themeColor="text1"/>
          <w14:textFill>
            <w14:solidFill>
              <w14:schemeClr w14:val="tx1"/>
            </w14:solidFill>
          </w14:textFill>
        </w:rPr>
      </w:pPr>
    </w:p>
    <w:p>
      <w:pPr>
        <w:spacing w:line="600" w:lineRule="exact"/>
        <w:ind w:firstLine="640"/>
        <w:rPr>
          <w:rFonts w:eastAsia="仿宋_GB2312" w:cs="仿宋_GB2312"/>
          <w:color w:val="000000" w:themeColor="text1"/>
          <w:kern w:val="0"/>
          <w:sz w:val="32"/>
          <w:szCs w:val="32"/>
          <w14:textFill>
            <w14:solidFill>
              <w14:schemeClr w14:val="tx1"/>
            </w14:solidFill>
          </w14:textFill>
        </w:rPr>
      </w:pPr>
    </w:p>
    <w:p>
      <w:pPr>
        <w:spacing w:line="600" w:lineRule="exact"/>
        <w:ind w:firstLine="640"/>
        <w:rPr>
          <w:rFonts w:eastAsia="仿宋_GB2312" w:cs="仿宋_GB2312"/>
          <w:color w:val="000000" w:themeColor="text1"/>
          <w:kern w:val="0"/>
          <w:sz w:val="32"/>
          <w:szCs w:val="32"/>
          <w14:textFill>
            <w14:solidFill>
              <w14:schemeClr w14:val="tx1"/>
            </w14:solidFill>
          </w14:textFill>
        </w:rPr>
      </w:pPr>
    </w:p>
    <w:p>
      <w:pPr>
        <w:spacing w:line="600" w:lineRule="exact"/>
        <w:ind w:firstLine="640"/>
        <w:rPr>
          <w:rFonts w:eastAsia="仿宋_GB2312" w:cs="仿宋_GB2312"/>
          <w:color w:val="000000" w:themeColor="text1"/>
          <w:kern w:val="0"/>
          <w:sz w:val="32"/>
          <w:szCs w:val="32"/>
          <w14:textFill>
            <w14:solidFill>
              <w14:schemeClr w14:val="tx1"/>
            </w14:solidFill>
          </w14:textFill>
        </w:rPr>
      </w:pPr>
      <w:bookmarkStart w:id="57" w:name="_Toc15396618"/>
      <w:r>
        <w:rPr>
          <w:rFonts w:hint="eastAsia" w:eastAsia="仿宋_GB2312" w:cs="仿宋_GB2312"/>
          <w:color w:val="000000" w:themeColor="text1"/>
          <w:kern w:val="0"/>
          <w:sz w:val="32"/>
          <w:szCs w:val="32"/>
          <w14:textFill>
            <w14:solidFill>
              <w14:schemeClr w14:val="tx1"/>
            </w14:solidFill>
          </w14:textFill>
        </w:rPr>
        <w:br w:type="page"/>
      </w:r>
    </w:p>
    <w:p>
      <w:pPr>
        <w:widowControl/>
        <w:spacing w:line="600" w:lineRule="exact"/>
        <w:jc w:val="center"/>
        <w:rPr>
          <w:rFonts w:eastAsia="仿宋"/>
          <w:color w:val="000000" w:themeColor="text1"/>
          <w14:textFill>
            <w14:solidFill>
              <w14:schemeClr w14:val="tx1"/>
            </w14:solidFill>
          </w14:textFill>
        </w:rPr>
      </w:pPr>
      <w:r>
        <w:rPr>
          <w:rFonts w:eastAsia="黑体"/>
          <w:color w:val="000000" w:themeColor="text1"/>
          <w:sz w:val="44"/>
          <w:szCs w:val="44"/>
          <w14:textFill>
            <w14:solidFill>
              <w14:schemeClr w14:val="tx1"/>
            </w14:solidFill>
          </w14:textFill>
        </w:rPr>
        <w:t>第</w:t>
      </w:r>
      <w:r>
        <w:rPr>
          <w:rStyle w:val="28"/>
          <w:rFonts w:eastAsia="黑体"/>
          <w:b w:val="0"/>
          <w:color w:val="000000" w:themeColor="text1"/>
          <w14:textFill>
            <w14:solidFill>
              <w14:schemeClr w14:val="tx1"/>
            </w14:solidFill>
          </w14:textFill>
        </w:rPr>
        <w:t>五部分 附表</w:t>
      </w:r>
      <w:bookmarkEnd w:id="51"/>
      <w:bookmarkEnd w:id="57"/>
      <w:bookmarkStart w:id="58" w:name="_Toc15396619"/>
    </w:p>
    <w:p>
      <w:pPr>
        <w:pStyle w:val="14"/>
        <w:adjustRightInd w:val="0"/>
        <w:snapToGrid w:val="0"/>
        <w:spacing w:line="600" w:lineRule="exact"/>
        <w:jc w:val="left"/>
        <w:rPr>
          <w:rFonts w:eastAsia="仿宋_GB2312"/>
          <w:color w:val="000000" w:themeColor="text1"/>
          <w:sz w:val="32"/>
          <w:szCs w:val="32"/>
          <w14:textFill>
            <w14:solidFill>
              <w14:schemeClr w14:val="tx1"/>
            </w14:solidFill>
          </w14:textFill>
        </w:rPr>
      </w:pPr>
    </w:p>
    <w:p>
      <w:pPr>
        <w:pStyle w:val="14"/>
        <w:adjustRightInd w:val="0"/>
        <w:snapToGrid w:val="0"/>
        <w:spacing w:line="600" w:lineRule="exact"/>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一、收入支出决算总表</w:t>
      </w:r>
      <w:bookmarkEnd w:id="58"/>
    </w:p>
    <w:p>
      <w:pPr>
        <w:pStyle w:val="14"/>
        <w:adjustRightInd w:val="0"/>
        <w:snapToGrid w:val="0"/>
        <w:spacing w:line="600" w:lineRule="exact"/>
        <w:jc w:val="left"/>
        <w:rPr>
          <w:rFonts w:eastAsia="仿宋_GB2312"/>
          <w:color w:val="000000" w:themeColor="text1"/>
          <w:sz w:val="32"/>
          <w:szCs w:val="32"/>
          <w14:textFill>
            <w14:solidFill>
              <w14:schemeClr w14:val="tx1"/>
            </w14:solidFill>
          </w14:textFill>
        </w:rPr>
      </w:pPr>
      <w:bookmarkStart w:id="59" w:name="_Toc15396620"/>
      <w:r>
        <w:rPr>
          <w:rFonts w:eastAsia="仿宋_GB2312"/>
          <w:color w:val="000000" w:themeColor="text1"/>
          <w:sz w:val="32"/>
          <w:szCs w:val="32"/>
          <w14:textFill>
            <w14:solidFill>
              <w14:schemeClr w14:val="tx1"/>
            </w14:solidFill>
          </w14:textFill>
        </w:rPr>
        <w:t>二、收入决算表</w:t>
      </w:r>
      <w:bookmarkEnd w:id="59"/>
    </w:p>
    <w:p>
      <w:pPr>
        <w:pStyle w:val="14"/>
        <w:adjustRightInd w:val="0"/>
        <w:snapToGrid w:val="0"/>
        <w:spacing w:line="600" w:lineRule="exact"/>
        <w:jc w:val="left"/>
        <w:rPr>
          <w:rFonts w:eastAsia="仿宋_GB2312"/>
          <w:color w:val="000000" w:themeColor="text1"/>
          <w:sz w:val="32"/>
          <w:szCs w:val="32"/>
          <w14:textFill>
            <w14:solidFill>
              <w14:schemeClr w14:val="tx1"/>
            </w14:solidFill>
          </w14:textFill>
        </w:rPr>
      </w:pPr>
      <w:bookmarkStart w:id="60" w:name="_Toc15396621"/>
      <w:r>
        <w:rPr>
          <w:rFonts w:eastAsia="仿宋_GB2312"/>
          <w:color w:val="000000" w:themeColor="text1"/>
          <w:sz w:val="32"/>
          <w:szCs w:val="32"/>
          <w14:textFill>
            <w14:solidFill>
              <w14:schemeClr w14:val="tx1"/>
            </w14:solidFill>
          </w14:textFill>
        </w:rPr>
        <w:t>三、支出决算表</w:t>
      </w:r>
      <w:bookmarkEnd w:id="60"/>
    </w:p>
    <w:p>
      <w:pPr>
        <w:pStyle w:val="14"/>
        <w:adjustRightInd w:val="0"/>
        <w:snapToGrid w:val="0"/>
        <w:spacing w:line="600" w:lineRule="exact"/>
        <w:jc w:val="left"/>
        <w:rPr>
          <w:rFonts w:eastAsia="仿宋_GB2312"/>
          <w:color w:val="000000" w:themeColor="text1"/>
          <w:sz w:val="32"/>
          <w:szCs w:val="32"/>
          <w14:textFill>
            <w14:solidFill>
              <w14:schemeClr w14:val="tx1"/>
            </w14:solidFill>
          </w14:textFill>
        </w:rPr>
      </w:pPr>
      <w:bookmarkStart w:id="61" w:name="_Toc15396622"/>
      <w:r>
        <w:rPr>
          <w:rFonts w:eastAsia="仿宋_GB2312"/>
          <w:color w:val="000000" w:themeColor="text1"/>
          <w:sz w:val="32"/>
          <w:szCs w:val="32"/>
          <w14:textFill>
            <w14:solidFill>
              <w14:schemeClr w14:val="tx1"/>
            </w14:solidFill>
          </w14:textFill>
        </w:rPr>
        <w:t>四、财政拨款收入支出决算总表</w:t>
      </w:r>
      <w:bookmarkEnd w:id="61"/>
    </w:p>
    <w:p>
      <w:pPr>
        <w:pStyle w:val="14"/>
        <w:adjustRightInd w:val="0"/>
        <w:snapToGrid w:val="0"/>
        <w:spacing w:line="600" w:lineRule="exact"/>
        <w:jc w:val="left"/>
        <w:rPr>
          <w:rFonts w:eastAsia="仿宋_GB2312"/>
          <w:color w:val="000000" w:themeColor="text1"/>
          <w:sz w:val="32"/>
          <w:szCs w:val="32"/>
          <w14:textFill>
            <w14:solidFill>
              <w14:schemeClr w14:val="tx1"/>
            </w14:solidFill>
          </w14:textFill>
        </w:rPr>
      </w:pPr>
      <w:bookmarkStart w:id="62" w:name="_Toc15396623"/>
      <w:r>
        <w:rPr>
          <w:rFonts w:eastAsia="仿宋_GB2312"/>
          <w:color w:val="000000" w:themeColor="text1"/>
          <w:sz w:val="32"/>
          <w:szCs w:val="32"/>
          <w14:textFill>
            <w14:solidFill>
              <w14:schemeClr w14:val="tx1"/>
            </w14:solidFill>
          </w14:textFill>
        </w:rPr>
        <w:t>五、财政拨款支出决算明细表</w:t>
      </w:r>
      <w:bookmarkEnd w:id="62"/>
      <w:bookmarkStart w:id="63" w:name="_Toc15396624"/>
    </w:p>
    <w:p>
      <w:pPr>
        <w:pStyle w:val="14"/>
        <w:adjustRightInd w:val="0"/>
        <w:snapToGrid w:val="0"/>
        <w:spacing w:line="600" w:lineRule="exact"/>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六、一般公共预算财政拨款支出决算表</w:t>
      </w:r>
      <w:bookmarkEnd w:id="63"/>
    </w:p>
    <w:p>
      <w:pPr>
        <w:pStyle w:val="14"/>
        <w:adjustRightInd w:val="0"/>
        <w:snapToGrid w:val="0"/>
        <w:spacing w:line="600" w:lineRule="exact"/>
        <w:jc w:val="left"/>
        <w:rPr>
          <w:rFonts w:eastAsia="仿宋_GB2312"/>
          <w:color w:val="000000" w:themeColor="text1"/>
          <w:sz w:val="32"/>
          <w:szCs w:val="32"/>
          <w14:textFill>
            <w14:solidFill>
              <w14:schemeClr w14:val="tx1"/>
            </w14:solidFill>
          </w14:textFill>
        </w:rPr>
      </w:pPr>
      <w:bookmarkStart w:id="64" w:name="_Toc15396625"/>
      <w:r>
        <w:rPr>
          <w:rFonts w:eastAsia="仿宋_GB2312"/>
          <w:color w:val="000000" w:themeColor="text1"/>
          <w:sz w:val="32"/>
          <w:szCs w:val="32"/>
          <w14:textFill>
            <w14:solidFill>
              <w14:schemeClr w14:val="tx1"/>
            </w14:solidFill>
          </w14:textFill>
        </w:rPr>
        <w:t>七、一般公共预算财政拨款支出决算明细表</w:t>
      </w:r>
      <w:bookmarkEnd w:id="64"/>
    </w:p>
    <w:p>
      <w:pPr>
        <w:pStyle w:val="14"/>
        <w:adjustRightInd w:val="0"/>
        <w:snapToGrid w:val="0"/>
        <w:spacing w:line="600" w:lineRule="exact"/>
        <w:jc w:val="left"/>
        <w:rPr>
          <w:rFonts w:eastAsia="仿宋_GB2312"/>
          <w:color w:val="000000" w:themeColor="text1"/>
          <w:sz w:val="32"/>
          <w:szCs w:val="32"/>
          <w14:textFill>
            <w14:solidFill>
              <w14:schemeClr w14:val="tx1"/>
            </w14:solidFill>
          </w14:textFill>
        </w:rPr>
      </w:pPr>
      <w:bookmarkStart w:id="65" w:name="_Toc15396626"/>
      <w:r>
        <w:rPr>
          <w:rFonts w:eastAsia="仿宋_GB2312"/>
          <w:color w:val="000000" w:themeColor="text1"/>
          <w:sz w:val="32"/>
          <w:szCs w:val="32"/>
          <w14:textFill>
            <w14:solidFill>
              <w14:schemeClr w14:val="tx1"/>
            </w14:solidFill>
          </w14:textFill>
        </w:rPr>
        <w:t>八、一般公共预算财政拨款基本支出决算表</w:t>
      </w:r>
      <w:bookmarkEnd w:id="65"/>
    </w:p>
    <w:p>
      <w:pPr>
        <w:pStyle w:val="14"/>
        <w:adjustRightInd w:val="0"/>
        <w:snapToGrid w:val="0"/>
        <w:spacing w:line="600" w:lineRule="exact"/>
        <w:jc w:val="left"/>
        <w:rPr>
          <w:rFonts w:eastAsia="仿宋_GB2312"/>
          <w:color w:val="000000" w:themeColor="text1"/>
          <w:sz w:val="32"/>
          <w:szCs w:val="32"/>
          <w14:textFill>
            <w14:solidFill>
              <w14:schemeClr w14:val="tx1"/>
            </w14:solidFill>
          </w14:textFill>
        </w:rPr>
      </w:pPr>
      <w:bookmarkStart w:id="66" w:name="_Toc15396627"/>
      <w:r>
        <w:rPr>
          <w:rFonts w:eastAsia="仿宋_GB2312"/>
          <w:color w:val="000000" w:themeColor="text1"/>
          <w:sz w:val="32"/>
          <w:szCs w:val="32"/>
          <w14:textFill>
            <w14:solidFill>
              <w14:schemeClr w14:val="tx1"/>
            </w14:solidFill>
          </w14:textFill>
        </w:rPr>
        <w:t>九、一般公共预算财政拨款项目支出决算表</w:t>
      </w:r>
      <w:bookmarkEnd w:id="66"/>
    </w:p>
    <w:p>
      <w:pPr>
        <w:pStyle w:val="14"/>
        <w:adjustRightInd w:val="0"/>
        <w:snapToGrid w:val="0"/>
        <w:spacing w:line="600" w:lineRule="exact"/>
        <w:jc w:val="left"/>
        <w:rPr>
          <w:rFonts w:eastAsia="仿宋_GB2312"/>
          <w:color w:val="000000" w:themeColor="text1"/>
          <w:sz w:val="32"/>
          <w:szCs w:val="32"/>
          <w14:textFill>
            <w14:solidFill>
              <w14:schemeClr w14:val="tx1"/>
            </w14:solidFill>
          </w14:textFill>
        </w:rPr>
      </w:pPr>
      <w:bookmarkStart w:id="67" w:name="_Toc15396628"/>
      <w:r>
        <w:rPr>
          <w:rFonts w:eastAsia="仿宋_GB2312"/>
          <w:color w:val="000000" w:themeColor="text1"/>
          <w:sz w:val="32"/>
          <w:szCs w:val="32"/>
          <w14:textFill>
            <w14:solidFill>
              <w14:schemeClr w14:val="tx1"/>
            </w14:solidFill>
          </w14:textFill>
        </w:rPr>
        <w:t>十、</w:t>
      </w:r>
      <w:bookmarkEnd w:id="67"/>
      <w:r>
        <w:rPr>
          <w:rFonts w:eastAsia="仿宋_GB2312"/>
          <w:color w:val="000000" w:themeColor="text1"/>
          <w:sz w:val="32"/>
          <w:szCs w:val="32"/>
          <w14:textFill>
            <w14:solidFill>
              <w14:schemeClr w14:val="tx1"/>
            </w14:solidFill>
          </w14:textFill>
        </w:rPr>
        <w:t>政府性基金预算财政拨款收入支出决算表</w:t>
      </w:r>
    </w:p>
    <w:p>
      <w:pPr>
        <w:pStyle w:val="14"/>
        <w:adjustRightInd w:val="0"/>
        <w:snapToGrid w:val="0"/>
        <w:spacing w:line="600" w:lineRule="exact"/>
        <w:jc w:val="left"/>
        <w:rPr>
          <w:rFonts w:eastAsia="仿宋_GB2312"/>
          <w:color w:val="000000" w:themeColor="text1"/>
          <w:sz w:val="32"/>
          <w:szCs w:val="32"/>
          <w14:textFill>
            <w14:solidFill>
              <w14:schemeClr w14:val="tx1"/>
            </w14:solidFill>
          </w14:textFill>
        </w:rPr>
      </w:pPr>
      <w:bookmarkStart w:id="68" w:name="_Toc15396629"/>
      <w:r>
        <w:rPr>
          <w:rFonts w:eastAsia="仿宋_GB2312"/>
          <w:color w:val="000000" w:themeColor="text1"/>
          <w:sz w:val="32"/>
          <w:szCs w:val="32"/>
          <w14:textFill>
            <w14:solidFill>
              <w14:schemeClr w14:val="tx1"/>
            </w14:solidFill>
          </w14:textFill>
        </w:rPr>
        <w:t>十一、</w:t>
      </w:r>
      <w:bookmarkEnd w:id="68"/>
      <w:r>
        <w:rPr>
          <w:rFonts w:eastAsia="仿宋_GB2312"/>
          <w:color w:val="000000" w:themeColor="text1"/>
          <w:sz w:val="32"/>
          <w:szCs w:val="32"/>
          <w14:textFill>
            <w14:solidFill>
              <w14:schemeClr w14:val="tx1"/>
            </w14:solidFill>
          </w14:textFill>
        </w:rPr>
        <w:t>国有资本经营预算财政拨款收入支出决算表</w:t>
      </w:r>
    </w:p>
    <w:p>
      <w:pPr>
        <w:pStyle w:val="14"/>
        <w:adjustRightInd w:val="0"/>
        <w:snapToGrid w:val="0"/>
        <w:spacing w:line="600" w:lineRule="exact"/>
        <w:jc w:val="left"/>
        <w:rPr>
          <w:rFonts w:eastAsia="仿宋_GB2312"/>
          <w:color w:val="000000" w:themeColor="text1"/>
          <w:sz w:val="32"/>
          <w:szCs w:val="32"/>
          <w14:textFill>
            <w14:solidFill>
              <w14:schemeClr w14:val="tx1"/>
            </w14:solidFill>
          </w14:textFill>
        </w:rPr>
      </w:pPr>
      <w:bookmarkStart w:id="69" w:name="_Toc15396630"/>
      <w:r>
        <w:rPr>
          <w:rFonts w:eastAsia="仿宋_GB2312"/>
          <w:color w:val="000000" w:themeColor="text1"/>
          <w:sz w:val="32"/>
          <w:szCs w:val="32"/>
          <w14:textFill>
            <w14:solidFill>
              <w14:schemeClr w14:val="tx1"/>
            </w14:solidFill>
          </w14:textFill>
        </w:rPr>
        <w:t>十二、</w:t>
      </w:r>
      <w:bookmarkEnd w:id="69"/>
      <w:r>
        <w:rPr>
          <w:rFonts w:eastAsia="仿宋_GB2312"/>
          <w:color w:val="000000" w:themeColor="text1"/>
          <w:sz w:val="32"/>
          <w:szCs w:val="32"/>
          <w14:textFill>
            <w14:solidFill>
              <w14:schemeClr w14:val="tx1"/>
            </w14:solidFill>
          </w14:textFill>
        </w:rPr>
        <w:t>国有资本经营预算财政拨款支出决算表</w:t>
      </w:r>
    </w:p>
    <w:p>
      <w:pPr>
        <w:pStyle w:val="14"/>
        <w:adjustRightInd w:val="0"/>
        <w:snapToGrid w:val="0"/>
        <w:spacing w:line="600" w:lineRule="exact"/>
        <w:jc w:val="left"/>
        <w:rPr>
          <w:rFonts w:eastAsia="仿宋_GB2312"/>
          <w:color w:val="000000" w:themeColor="text1"/>
          <w:sz w:val="32"/>
          <w:szCs w:val="32"/>
          <w14:textFill>
            <w14:solidFill>
              <w14:schemeClr w14:val="tx1"/>
            </w14:solidFill>
          </w14:textFill>
        </w:rPr>
      </w:pPr>
      <w:bookmarkStart w:id="70" w:name="_Toc15396631"/>
      <w:r>
        <w:rPr>
          <w:rFonts w:eastAsia="仿宋_GB2312"/>
          <w:color w:val="000000" w:themeColor="text1"/>
          <w:sz w:val="32"/>
          <w:szCs w:val="32"/>
          <w14:textFill>
            <w14:solidFill>
              <w14:schemeClr w14:val="tx1"/>
            </w14:solidFill>
          </w14:textFill>
        </w:rPr>
        <w:t>十三、</w:t>
      </w:r>
      <w:bookmarkEnd w:id="70"/>
      <w:r>
        <w:rPr>
          <w:rFonts w:eastAsia="仿宋_GB2312"/>
          <w:color w:val="000000" w:themeColor="text1"/>
          <w:sz w:val="32"/>
          <w:szCs w:val="32"/>
          <w14:textFill>
            <w14:solidFill>
              <w14:schemeClr w14:val="tx1"/>
            </w14:solidFill>
          </w14:textFill>
        </w:rPr>
        <w:t>财政拨款“三公”经费支出决算表</w:t>
      </w:r>
    </w:p>
    <w:p>
      <w:pPr>
        <w:rPr>
          <w:color w:val="000000" w:themeColor="text1"/>
          <w14:textFill>
            <w14:solidFill>
              <w14:schemeClr w14:val="tx1"/>
            </w14:solidFill>
          </w14:textFill>
        </w:rPr>
      </w:pPr>
    </w:p>
    <w:sectPr>
      <w:footerReference r:id="rId7" w:type="first"/>
      <w:footerReference r:id="rId6" w:type="default"/>
      <w:pgSz w:w="11906" w:h="16838"/>
      <w:pgMar w:top="2098" w:right="1558"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1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- 21 -</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11"/>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7848F"/>
    <w:multiLevelType w:val="singleLevel"/>
    <w:tmpl w:val="CCD7848F"/>
    <w:lvl w:ilvl="0" w:tentative="0">
      <w:start w:val="1"/>
      <w:numFmt w:val="decimal"/>
      <w:lvlText w:val="%1."/>
      <w:lvlJc w:val="left"/>
      <w:pPr>
        <w:tabs>
          <w:tab w:val="left" w:pos="312"/>
        </w:tabs>
        <w:ind w:left="-10"/>
      </w:pPr>
    </w:lvl>
  </w:abstractNum>
  <w:abstractNum w:abstractNumId="1">
    <w:nsid w:val="D2C1B531"/>
    <w:multiLevelType w:val="singleLevel"/>
    <w:tmpl w:val="D2C1B531"/>
    <w:lvl w:ilvl="0" w:tentative="0">
      <w:start w:val="3"/>
      <w:numFmt w:val="chineseCounting"/>
      <w:suff w:val="nothing"/>
      <w:lvlText w:val="（%1）"/>
      <w:lvlJc w:val="left"/>
      <w:rPr>
        <w:rFonts w:hint="eastAsia"/>
      </w:rPr>
    </w:lvl>
  </w:abstractNum>
  <w:abstractNum w:abstractNumId="2">
    <w:nsid w:val="35EFF22C"/>
    <w:multiLevelType w:val="singleLevel"/>
    <w:tmpl w:val="35EFF22C"/>
    <w:lvl w:ilvl="0" w:tentative="0">
      <w:start w:val="1"/>
      <w:numFmt w:val="chineseCounting"/>
      <w:suff w:val="nothing"/>
      <w:lvlText w:val="%1、"/>
      <w:lvlJc w:val="left"/>
      <w:rPr>
        <w:rFonts w:hint="eastAsia"/>
      </w:rPr>
    </w:lvl>
  </w:abstractNum>
  <w:abstractNum w:abstractNumId="3">
    <w:nsid w:val="69111E66"/>
    <w:multiLevelType w:val="singleLevel"/>
    <w:tmpl w:val="69111E66"/>
    <w:lvl w:ilvl="0" w:tentative="0">
      <w:start w:val="2"/>
      <w:numFmt w:val="chineseCounting"/>
      <w:suff w:val="nothing"/>
      <w:lvlText w:val="（%1）"/>
      <w:lvlJc w:val="left"/>
      <w:rPr>
        <w:rFonts w:hint="eastAsia"/>
      </w:rPr>
    </w:lvl>
  </w:abstractNum>
  <w:abstractNum w:abstractNumId="4">
    <w:nsid w:val="70E2413E"/>
    <w:multiLevelType w:val="singleLevel"/>
    <w:tmpl w:val="70E2413E"/>
    <w:lvl w:ilvl="0" w:tentative="0">
      <w:start w:val="2"/>
      <w:numFmt w:val="chineseCounting"/>
      <w:suff w:val="nothing"/>
      <w:lvlText w:val="（%1）"/>
      <w:lvlJc w:val="left"/>
      <w:rPr>
        <w:rFonts w:hint="eastAsia"/>
      </w:rPr>
    </w:lvl>
  </w:abstractNum>
  <w:abstractNum w:abstractNumId="5">
    <w:nsid w:val="7E223C1C"/>
    <w:multiLevelType w:val="singleLevel"/>
    <w:tmpl w:val="7E223C1C"/>
    <w:lvl w:ilvl="0" w:tentative="0">
      <w:start w:val="2"/>
      <w:numFmt w:val="chineseCounting"/>
      <w:suff w:val="nothing"/>
      <w:lvlText w:val="（%1）"/>
      <w:lvlJc w:val="left"/>
      <w:rPr>
        <w:rFonts w:hint="eastAsia"/>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3.1.25:80/seeyon/officeservlet"/>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509D"/>
    <w:rsid w:val="00157BAB"/>
    <w:rsid w:val="001654D1"/>
    <w:rsid w:val="00174518"/>
    <w:rsid w:val="0018106D"/>
    <w:rsid w:val="001877A7"/>
    <w:rsid w:val="00191536"/>
    <w:rsid w:val="00196687"/>
    <w:rsid w:val="001C0962"/>
    <w:rsid w:val="001D7531"/>
    <w:rsid w:val="001E737D"/>
    <w:rsid w:val="001E771A"/>
    <w:rsid w:val="001F0592"/>
    <w:rsid w:val="001F7045"/>
    <w:rsid w:val="001F7506"/>
    <w:rsid w:val="002006CD"/>
    <w:rsid w:val="00202B36"/>
    <w:rsid w:val="00204B7A"/>
    <w:rsid w:val="00204CDE"/>
    <w:rsid w:val="0021101A"/>
    <w:rsid w:val="00220536"/>
    <w:rsid w:val="00235629"/>
    <w:rsid w:val="00260C38"/>
    <w:rsid w:val="002616C0"/>
    <w:rsid w:val="00265372"/>
    <w:rsid w:val="002662AA"/>
    <w:rsid w:val="00270F4A"/>
    <w:rsid w:val="00280496"/>
    <w:rsid w:val="00294DC9"/>
    <w:rsid w:val="00295495"/>
    <w:rsid w:val="002A31DE"/>
    <w:rsid w:val="002B2613"/>
    <w:rsid w:val="002D6D05"/>
    <w:rsid w:val="002E0E6A"/>
    <w:rsid w:val="002F1818"/>
    <w:rsid w:val="002F567B"/>
    <w:rsid w:val="0031737F"/>
    <w:rsid w:val="003216A9"/>
    <w:rsid w:val="00335A74"/>
    <w:rsid w:val="00354827"/>
    <w:rsid w:val="0036561B"/>
    <w:rsid w:val="0037013F"/>
    <w:rsid w:val="00380C92"/>
    <w:rsid w:val="00385EFC"/>
    <w:rsid w:val="003A484F"/>
    <w:rsid w:val="003A4883"/>
    <w:rsid w:val="003B0BE0"/>
    <w:rsid w:val="003B0C1B"/>
    <w:rsid w:val="003B688C"/>
    <w:rsid w:val="003C0291"/>
    <w:rsid w:val="003C39AE"/>
    <w:rsid w:val="003C7B60"/>
    <w:rsid w:val="003D0C0F"/>
    <w:rsid w:val="003D1FB2"/>
    <w:rsid w:val="003D66DA"/>
    <w:rsid w:val="003D7B50"/>
    <w:rsid w:val="003E1310"/>
    <w:rsid w:val="003E5983"/>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6A21"/>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010E"/>
    <w:rsid w:val="006748A4"/>
    <w:rsid w:val="00681A31"/>
    <w:rsid w:val="00683E73"/>
    <w:rsid w:val="006A3141"/>
    <w:rsid w:val="006A5E34"/>
    <w:rsid w:val="006B2422"/>
    <w:rsid w:val="006B2B9A"/>
    <w:rsid w:val="006C1937"/>
    <w:rsid w:val="006E1C14"/>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055E2"/>
    <w:rsid w:val="00813348"/>
    <w:rsid w:val="008253BB"/>
    <w:rsid w:val="0083706E"/>
    <w:rsid w:val="008408F6"/>
    <w:rsid w:val="008413A3"/>
    <w:rsid w:val="008423A5"/>
    <w:rsid w:val="00850625"/>
    <w:rsid w:val="00853718"/>
    <w:rsid w:val="00855221"/>
    <w:rsid w:val="00860645"/>
    <w:rsid w:val="00861C29"/>
    <w:rsid w:val="00871F71"/>
    <w:rsid w:val="00872FD8"/>
    <w:rsid w:val="00885AF4"/>
    <w:rsid w:val="008939CD"/>
    <w:rsid w:val="008A7960"/>
    <w:rsid w:val="008B768C"/>
    <w:rsid w:val="008C4DB1"/>
    <w:rsid w:val="008C4EAF"/>
    <w:rsid w:val="008C5176"/>
    <w:rsid w:val="008C7FD0"/>
    <w:rsid w:val="008E1DE7"/>
    <w:rsid w:val="008E3C6C"/>
    <w:rsid w:val="008E707C"/>
    <w:rsid w:val="008F59DE"/>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1DCD"/>
    <w:rsid w:val="00A237D8"/>
    <w:rsid w:val="00A268C4"/>
    <w:rsid w:val="00A307CD"/>
    <w:rsid w:val="00A331C8"/>
    <w:rsid w:val="00A35144"/>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C55F0"/>
    <w:rsid w:val="00AD1419"/>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BF6611"/>
    <w:rsid w:val="00C03E31"/>
    <w:rsid w:val="00C33E72"/>
    <w:rsid w:val="00C354B2"/>
    <w:rsid w:val="00C35554"/>
    <w:rsid w:val="00C42709"/>
    <w:rsid w:val="00C533CC"/>
    <w:rsid w:val="00C5751C"/>
    <w:rsid w:val="00C608C2"/>
    <w:rsid w:val="00C61BFC"/>
    <w:rsid w:val="00C62B85"/>
    <w:rsid w:val="00C65438"/>
    <w:rsid w:val="00C87FD8"/>
    <w:rsid w:val="00C91381"/>
    <w:rsid w:val="00C91CBB"/>
    <w:rsid w:val="00C97DF7"/>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424C"/>
    <w:rsid w:val="00D7035F"/>
    <w:rsid w:val="00D92BF6"/>
    <w:rsid w:val="00DA634F"/>
    <w:rsid w:val="00DA65AC"/>
    <w:rsid w:val="00DB1913"/>
    <w:rsid w:val="00DC410D"/>
    <w:rsid w:val="00DC5A81"/>
    <w:rsid w:val="00DC68CA"/>
    <w:rsid w:val="00DC7CBA"/>
    <w:rsid w:val="00DD73B7"/>
    <w:rsid w:val="00DF28BC"/>
    <w:rsid w:val="00DF34B9"/>
    <w:rsid w:val="00DF4649"/>
    <w:rsid w:val="00E01053"/>
    <w:rsid w:val="00E07ACF"/>
    <w:rsid w:val="00E07F40"/>
    <w:rsid w:val="00E331A1"/>
    <w:rsid w:val="00E33202"/>
    <w:rsid w:val="00E336A9"/>
    <w:rsid w:val="00E472B1"/>
    <w:rsid w:val="00E50624"/>
    <w:rsid w:val="00E54633"/>
    <w:rsid w:val="00E568DF"/>
    <w:rsid w:val="00E64269"/>
    <w:rsid w:val="00E82267"/>
    <w:rsid w:val="00E853CE"/>
    <w:rsid w:val="00E867B6"/>
    <w:rsid w:val="00EA010F"/>
    <w:rsid w:val="00EB31E4"/>
    <w:rsid w:val="00ED1B63"/>
    <w:rsid w:val="00ED3C1F"/>
    <w:rsid w:val="00ED4085"/>
    <w:rsid w:val="00ED420E"/>
    <w:rsid w:val="00ED6FBE"/>
    <w:rsid w:val="00EE2F57"/>
    <w:rsid w:val="00EF4C34"/>
    <w:rsid w:val="00EF77C6"/>
    <w:rsid w:val="00F05438"/>
    <w:rsid w:val="00F101B8"/>
    <w:rsid w:val="00F1361C"/>
    <w:rsid w:val="00F156F0"/>
    <w:rsid w:val="00F160C7"/>
    <w:rsid w:val="00F20075"/>
    <w:rsid w:val="00F2408F"/>
    <w:rsid w:val="00F240E9"/>
    <w:rsid w:val="00F36D8F"/>
    <w:rsid w:val="00F417B1"/>
    <w:rsid w:val="00F45853"/>
    <w:rsid w:val="00F602DF"/>
    <w:rsid w:val="00F703C5"/>
    <w:rsid w:val="00F754A1"/>
    <w:rsid w:val="00F81FD9"/>
    <w:rsid w:val="00F841AA"/>
    <w:rsid w:val="00F84A94"/>
    <w:rsid w:val="00F87E96"/>
    <w:rsid w:val="00F97AAF"/>
    <w:rsid w:val="00FA23E8"/>
    <w:rsid w:val="00FC6EB4"/>
    <w:rsid w:val="00FD3CC1"/>
    <w:rsid w:val="00FF1E02"/>
    <w:rsid w:val="00FF30B4"/>
    <w:rsid w:val="012A5EC2"/>
    <w:rsid w:val="015975B8"/>
    <w:rsid w:val="01A7430C"/>
    <w:rsid w:val="02FE031F"/>
    <w:rsid w:val="02FEBE30"/>
    <w:rsid w:val="04916F1E"/>
    <w:rsid w:val="061E35DE"/>
    <w:rsid w:val="066E0107"/>
    <w:rsid w:val="07996F6E"/>
    <w:rsid w:val="07DFD8BA"/>
    <w:rsid w:val="09867E8F"/>
    <w:rsid w:val="0A1421D6"/>
    <w:rsid w:val="0A2032A3"/>
    <w:rsid w:val="0CA8290A"/>
    <w:rsid w:val="0D35B1ED"/>
    <w:rsid w:val="0E254B6B"/>
    <w:rsid w:val="0E6A6868"/>
    <w:rsid w:val="0EDE2EBF"/>
    <w:rsid w:val="0F98263C"/>
    <w:rsid w:val="101860EC"/>
    <w:rsid w:val="101F47CC"/>
    <w:rsid w:val="10751E78"/>
    <w:rsid w:val="10C055FF"/>
    <w:rsid w:val="11694EBD"/>
    <w:rsid w:val="11772AA4"/>
    <w:rsid w:val="118107EC"/>
    <w:rsid w:val="12E24EE2"/>
    <w:rsid w:val="138A6153"/>
    <w:rsid w:val="13D50BC4"/>
    <w:rsid w:val="14B17F78"/>
    <w:rsid w:val="15EA2E54"/>
    <w:rsid w:val="165E0673"/>
    <w:rsid w:val="16B831D5"/>
    <w:rsid w:val="16BB723D"/>
    <w:rsid w:val="170134A2"/>
    <w:rsid w:val="17E50567"/>
    <w:rsid w:val="186504BB"/>
    <w:rsid w:val="19A445FC"/>
    <w:rsid w:val="19C54916"/>
    <w:rsid w:val="1BE8440E"/>
    <w:rsid w:val="1C461539"/>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8891EF9"/>
    <w:rsid w:val="28A7208F"/>
    <w:rsid w:val="29FD04D3"/>
    <w:rsid w:val="2BFF7BC6"/>
    <w:rsid w:val="2C8A61B5"/>
    <w:rsid w:val="2DF04E50"/>
    <w:rsid w:val="2E586DFA"/>
    <w:rsid w:val="2F040D46"/>
    <w:rsid w:val="2F6B035B"/>
    <w:rsid w:val="2FAE5751"/>
    <w:rsid w:val="2FB1A395"/>
    <w:rsid w:val="2FD9A7D8"/>
    <w:rsid w:val="2FDBF714"/>
    <w:rsid w:val="30AB6865"/>
    <w:rsid w:val="319F7F4E"/>
    <w:rsid w:val="31CD4F26"/>
    <w:rsid w:val="325D20BC"/>
    <w:rsid w:val="32BD1EF1"/>
    <w:rsid w:val="3304709D"/>
    <w:rsid w:val="33686A62"/>
    <w:rsid w:val="33A773CB"/>
    <w:rsid w:val="349D6851"/>
    <w:rsid w:val="351A24E7"/>
    <w:rsid w:val="36AA5135"/>
    <w:rsid w:val="36BE0DA7"/>
    <w:rsid w:val="376B6AA6"/>
    <w:rsid w:val="376D39B2"/>
    <w:rsid w:val="37E16F03"/>
    <w:rsid w:val="37F53A3B"/>
    <w:rsid w:val="389B6C89"/>
    <w:rsid w:val="38D469F0"/>
    <w:rsid w:val="39627CCD"/>
    <w:rsid w:val="397BAF1F"/>
    <w:rsid w:val="3A4F06BB"/>
    <w:rsid w:val="3AB79AF3"/>
    <w:rsid w:val="3AE834C0"/>
    <w:rsid w:val="3B7EF35A"/>
    <w:rsid w:val="3B9FDB6C"/>
    <w:rsid w:val="3BF5BC2F"/>
    <w:rsid w:val="3CEBA265"/>
    <w:rsid w:val="3D98207C"/>
    <w:rsid w:val="3DA064B8"/>
    <w:rsid w:val="3DB8289D"/>
    <w:rsid w:val="3DEE7CF3"/>
    <w:rsid w:val="3E740A63"/>
    <w:rsid w:val="3E78745D"/>
    <w:rsid w:val="3EE17838"/>
    <w:rsid w:val="3F272DA1"/>
    <w:rsid w:val="3F55381A"/>
    <w:rsid w:val="3F7F7599"/>
    <w:rsid w:val="3FF4CAE0"/>
    <w:rsid w:val="3FF7B227"/>
    <w:rsid w:val="44E268DA"/>
    <w:rsid w:val="450D13D7"/>
    <w:rsid w:val="45506656"/>
    <w:rsid w:val="475C24EB"/>
    <w:rsid w:val="486A6C7A"/>
    <w:rsid w:val="4A627F82"/>
    <w:rsid w:val="4B0E749A"/>
    <w:rsid w:val="4B2477C4"/>
    <w:rsid w:val="4B4F25DA"/>
    <w:rsid w:val="4B9B077D"/>
    <w:rsid w:val="4BE068DB"/>
    <w:rsid w:val="4D577224"/>
    <w:rsid w:val="4DBF1CEB"/>
    <w:rsid w:val="4DF0007C"/>
    <w:rsid w:val="4EAB630A"/>
    <w:rsid w:val="4ECE2238"/>
    <w:rsid w:val="4F833267"/>
    <w:rsid w:val="4FE9BD67"/>
    <w:rsid w:val="4FFB052F"/>
    <w:rsid w:val="501E179F"/>
    <w:rsid w:val="50B577F5"/>
    <w:rsid w:val="537E6D0A"/>
    <w:rsid w:val="53F74C96"/>
    <w:rsid w:val="54AF6C4C"/>
    <w:rsid w:val="55170BA8"/>
    <w:rsid w:val="553218C9"/>
    <w:rsid w:val="566D36D8"/>
    <w:rsid w:val="567E1AA5"/>
    <w:rsid w:val="56E47B74"/>
    <w:rsid w:val="57175D52"/>
    <w:rsid w:val="57636456"/>
    <w:rsid w:val="57BD3DD4"/>
    <w:rsid w:val="5A962437"/>
    <w:rsid w:val="5AB673CE"/>
    <w:rsid w:val="5AF92295"/>
    <w:rsid w:val="5B250254"/>
    <w:rsid w:val="5BDD79E6"/>
    <w:rsid w:val="5BF561CA"/>
    <w:rsid w:val="5BFF5DFC"/>
    <w:rsid w:val="5C8D4CC0"/>
    <w:rsid w:val="5C930305"/>
    <w:rsid w:val="5CD71FC4"/>
    <w:rsid w:val="5D1F11B5"/>
    <w:rsid w:val="5D695134"/>
    <w:rsid w:val="5DAE1B18"/>
    <w:rsid w:val="5DE7D9E5"/>
    <w:rsid w:val="5E4A603E"/>
    <w:rsid w:val="5ECEC941"/>
    <w:rsid w:val="5FBF9FF3"/>
    <w:rsid w:val="5FCD4E2C"/>
    <w:rsid w:val="5FEF394A"/>
    <w:rsid w:val="5FF67715"/>
    <w:rsid w:val="62BF3928"/>
    <w:rsid w:val="63B3701E"/>
    <w:rsid w:val="647F5392"/>
    <w:rsid w:val="64C0609B"/>
    <w:rsid w:val="65E66580"/>
    <w:rsid w:val="664A237C"/>
    <w:rsid w:val="664B1D71"/>
    <w:rsid w:val="664B4E8E"/>
    <w:rsid w:val="67277B67"/>
    <w:rsid w:val="67AA3209"/>
    <w:rsid w:val="6933534A"/>
    <w:rsid w:val="698D0931"/>
    <w:rsid w:val="6A424E3C"/>
    <w:rsid w:val="6A7FE5F3"/>
    <w:rsid w:val="6B053271"/>
    <w:rsid w:val="6BDD78B3"/>
    <w:rsid w:val="6C4A05C8"/>
    <w:rsid w:val="6C8742B8"/>
    <w:rsid w:val="6D196605"/>
    <w:rsid w:val="6D7E527A"/>
    <w:rsid w:val="6DBF5E93"/>
    <w:rsid w:val="6DFF077E"/>
    <w:rsid w:val="6E714EF0"/>
    <w:rsid w:val="6E7E3605"/>
    <w:rsid w:val="6E7FDCC7"/>
    <w:rsid w:val="6ED6A62E"/>
    <w:rsid w:val="6EDA6BFF"/>
    <w:rsid w:val="6EE00B15"/>
    <w:rsid w:val="6F6FB3EB"/>
    <w:rsid w:val="6F727B24"/>
    <w:rsid w:val="6F8731EA"/>
    <w:rsid w:val="6FCE6052"/>
    <w:rsid w:val="6FD57C00"/>
    <w:rsid w:val="6FEFFFD8"/>
    <w:rsid w:val="6FF5CC65"/>
    <w:rsid w:val="6FFB47EC"/>
    <w:rsid w:val="6FFF034A"/>
    <w:rsid w:val="70484440"/>
    <w:rsid w:val="712A28F1"/>
    <w:rsid w:val="715C0E4B"/>
    <w:rsid w:val="71992E7C"/>
    <w:rsid w:val="72233669"/>
    <w:rsid w:val="72734D90"/>
    <w:rsid w:val="728C4DDE"/>
    <w:rsid w:val="73160E6D"/>
    <w:rsid w:val="7332FE48"/>
    <w:rsid w:val="73AB61DA"/>
    <w:rsid w:val="73AD73D5"/>
    <w:rsid w:val="73B6EB34"/>
    <w:rsid w:val="73FA497D"/>
    <w:rsid w:val="744731E5"/>
    <w:rsid w:val="74BBD01D"/>
    <w:rsid w:val="74ED5379"/>
    <w:rsid w:val="75462B90"/>
    <w:rsid w:val="75B275F6"/>
    <w:rsid w:val="75DEEEC2"/>
    <w:rsid w:val="75E32345"/>
    <w:rsid w:val="76BB16C3"/>
    <w:rsid w:val="76CF13D4"/>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35D11"/>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5"/>
    <w:qFormat/>
    <w:uiPriority w:val="9"/>
    <w:rPr>
      <w:rFonts w:ascii="Times New Roman" w:hAnsi="Times New Roman"/>
      <w:b/>
      <w:bCs/>
      <w:kern w:val="44"/>
      <w:sz w:val="44"/>
      <w:szCs w:val="44"/>
    </w:rPr>
  </w:style>
  <w:style w:type="character" w:customStyle="1" w:styleId="29">
    <w:name w:val="标题 2 字符"/>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10"/>
    <w:semiHidden/>
    <w:qFormat/>
    <w:uiPriority w:val="99"/>
    <w:rPr>
      <w:rFonts w:ascii="Times New Roman" w:hAnsi="Times New Roman"/>
      <w:kern w:val="2"/>
      <w:sz w:val="18"/>
      <w:szCs w:val="18"/>
    </w:rPr>
  </w:style>
  <w:style w:type="character" w:customStyle="1" w:styleId="32">
    <w:name w:val="标题 3 字符"/>
    <w:basedOn w:val="16"/>
    <w:link w:val="7"/>
    <w:qFormat/>
    <w:uiPriority w:val="9"/>
    <w:rPr>
      <w:rFonts w:ascii="Times New Roman" w:hAnsi="Times New Roman"/>
      <w:b/>
      <w:bCs/>
      <w:kern w:val="2"/>
      <w:sz w:val="32"/>
      <w:szCs w:val="32"/>
    </w:rPr>
  </w:style>
  <w:style w:type="paragraph" w:customStyle="1" w:styleId="33">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9816</Words>
  <Characters>10930</Characters>
  <Lines>103</Lines>
  <Paragraphs>29</Paragraphs>
  <TotalTime>6</TotalTime>
  <ScaleCrop>false</ScaleCrop>
  <LinksUpToDate>false</LinksUpToDate>
  <CharactersWithSpaces>10967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2025-09-03T12:07:00Z</dcterms:created>
  <dc:creator>曹颖</dc:creator>
  <cp:lastModifiedBy>刘立明</cp:lastModifiedBy>
  <cp:lastPrinted>2025-08-06T17:34:00Z</cp:lastPrinted>
  <dcterms:modified xsi:type="dcterms:W3CDTF">2025-09-17T02:14:53Z</dcterms:modified>
  <dc:title>四川省***</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A6594AB4A0F04028ACE4E1F3DCBEFE73_13</vt:lpwstr>
  </property>
  <property fmtid="{D5CDD505-2E9C-101B-9397-08002B2CF9AE}" pid="4" name="KSOTemplateDocerSaveRecord">
    <vt:lpwstr>eyJoZGlkIjoiYTBkYjc0MWQ3Mjc1YTJmMWY5OGNiNmNkZTFkNGJlM2YifQ==</vt:lpwstr>
  </property>
</Properties>
</file>