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4E580EF">
      <w:pPr>
        <w:rPr>
          <w:color w:val="000000" w:themeColor="text1"/>
          <w14:textFill>
            <w14:solidFill>
              <w14:schemeClr w14:val="tx1"/>
            </w14:solidFill>
          </w14:textFill>
        </w:rPr>
      </w:pPr>
      <w:bookmarkStart w:id="0" w:name="_Toc15396597"/>
      <w:bookmarkStart w:id="1" w:name="_Toc15377425"/>
      <w:bookmarkStart w:id="2" w:name="_Toc15378441"/>
      <w:bookmarkStart w:id="3" w:name="_Toc15396475"/>
      <w:bookmarkStart w:id="4" w:name="_Toc15377193"/>
      <w:bookmarkStart w:id="5" w:name="_Toc15306267"/>
    </w:p>
    <w:p w14:paraId="20FEFDA7">
      <w:pPr>
        <w:pStyle w:val="6"/>
        <w:spacing w:before="93"/>
        <w:jc w:val="center"/>
        <w:rPr>
          <w:rFonts w:ascii="Times New Roman" w:eastAsia="方正小标宋简体"/>
          <w:color w:val="000000" w:themeColor="text1"/>
          <w:kern w:val="2"/>
          <w:sz w:val="44"/>
          <w:szCs w:val="44"/>
          <w14:textFill>
            <w14:solidFill>
              <w14:schemeClr w14:val="tx1"/>
            </w14:solidFill>
          </w14:textFill>
        </w:rPr>
      </w:pPr>
    </w:p>
    <w:p w14:paraId="201C6D38">
      <w:pPr>
        <w:pStyle w:val="6"/>
        <w:spacing w:before="93"/>
        <w:jc w:val="center"/>
        <w:rPr>
          <w:rFonts w:ascii="Times New Roman" w:eastAsia="方正小标宋简体"/>
          <w:color w:val="000000" w:themeColor="text1"/>
          <w:kern w:val="2"/>
          <w:sz w:val="44"/>
          <w:szCs w:val="44"/>
          <w14:textFill>
            <w14:solidFill>
              <w14:schemeClr w14:val="tx1"/>
            </w14:solidFill>
          </w14:textFill>
        </w:rPr>
      </w:pPr>
    </w:p>
    <w:p w14:paraId="336CE59A">
      <w:pPr>
        <w:pStyle w:val="6"/>
        <w:spacing w:before="93"/>
        <w:jc w:val="center"/>
        <w:rPr>
          <w:rFonts w:ascii="Times New Roman" w:eastAsia="方正小标宋简体"/>
          <w:color w:val="000000" w:themeColor="text1"/>
          <w:kern w:val="2"/>
          <w:sz w:val="44"/>
          <w:szCs w:val="44"/>
          <w14:textFill>
            <w14:solidFill>
              <w14:schemeClr w14:val="tx1"/>
            </w14:solidFill>
          </w14:textFill>
        </w:rPr>
      </w:pPr>
    </w:p>
    <w:p w14:paraId="53CB7D29">
      <w:pPr>
        <w:pStyle w:val="6"/>
        <w:spacing w:before="93"/>
        <w:jc w:val="center"/>
        <w:rPr>
          <w:rFonts w:ascii="Times New Roman" w:eastAsia="方正小标宋简体"/>
          <w:color w:val="000000" w:themeColor="text1"/>
          <w:kern w:val="2"/>
          <w:sz w:val="44"/>
          <w:szCs w:val="44"/>
          <w14:textFill>
            <w14:solidFill>
              <w14:schemeClr w14:val="tx1"/>
            </w14:solidFill>
          </w14:textFill>
        </w:rPr>
      </w:pPr>
    </w:p>
    <w:bookmarkEnd w:id="0"/>
    <w:bookmarkEnd w:id="1"/>
    <w:bookmarkEnd w:id="2"/>
    <w:bookmarkEnd w:id="3"/>
    <w:bookmarkEnd w:id="4"/>
    <w:p w14:paraId="03C0AD7A">
      <w:pPr>
        <w:pStyle w:val="6"/>
        <w:spacing w:before="93"/>
        <w:jc w:val="center"/>
        <w:rPr>
          <w:rFonts w:ascii="Times New Roman" w:eastAsia="方正小标宋简体"/>
          <w:color w:val="000000" w:themeColor="text1"/>
          <w:kern w:val="2"/>
          <w:sz w:val="44"/>
          <w:szCs w:val="44"/>
          <w14:textFill>
            <w14:solidFill>
              <w14:schemeClr w14:val="tx1"/>
            </w14:solidFill>
          </w14:textFill>
        </w:rPr>
      </w:pPr>
      <w:bookmarkStart w:id="6" w:name="_Toc15396476"/>
      <w:bookmarkStart w:id="7" w:name="_Toc15377426"/>
      <w:bookmarkStart w:id="8" w:name="_Toc15377194"/>
      <w:bookmarkStart w:id="9" w:name="_Toc15378442"/>
      <w:bookmarkStart w:id="10" w:name="_Toc15396598"/>
      <w:r>
        <w:rPr>
          <w:rFonts w:hint="eastAsia" w:ascii="Times New Roman" w:eastAsia="方正小标宋简体"/>
          <w:color w:val="000000" w:themeColor="text1"/>
          <w:kern w:val="2"/>
          <w:sz w:val="44"/>
          <w:szCs w:val="44"/>
          <w14:textFill>
            <w14:solidFill>
              <w14:schemeClr w14:val="tx1"/>
            </w14:solidFill>
          </w14:textFill>
        </w:rPr>
        <w:t>2025年度</w:t>
      </w:r>
    </w:p>
    <w:p w14:paraId="7B744166">
      <w:pPr>
        <w:pStyle w:val="6"/>
        <w:spacing w:before="93"/>
        <w:jc w:val="center"/>
        <w:rPr>
          <w:rFonts w:ascii="Times New Roman" w:eastAsia="方正小标宋简体"/>
          <w:color w:val="000000" w:themeColor="text1"/>
          <w:kern w:val="2"/>
          <w:sz w:val="44"/>
          <w:szCs w:val="44"/>
          <w14:textFill>
            <w14:solidFill>
              <w14:schemeClr w14:val="tx1"/>
            </w14:solidFill>
          </w14:textFill>
        </w:rPr>
      </w:pPr>
      <w:r>
        <w:rPr>
          <w:rFonts w:hint="eastAsia" w:ascii="Times New Roman" w:eastAsia="方正小标宋简体"/>
          <w:color w:val="000000" w:themeColor="text1"/>
          <w:kern w:val="2"/>
          <w:sz w:val="44"/>
          <w:szCs w:val="44"/>
          <w14:textFill>
            <w14:solidFill>
              <w14:schemeClr w14:val="tx1"/>
            </w14:solidFill>
          </w14:textFill>
        </w:rPr>
        <w:t>攀枝花市</w:t>
      </w:r>
      <w:bookmarkEnd w:id="5"/>
      <w:bookmarkStart w:id="11" w:name="_Toc15306268"/>
      <w:r>
        <w:rPr>
          <w:rFonts w:hint="eastAsia" w:ascii="Times New Roman" w:eastAsia="方正小标宋简体"/>
          <w:color w:val="000000" w:themeColor="text1"/>
          <w:kern w:val="2"/>
          <w:sz w:val="44"/>
          <w:szCs w:val="44"/>
          <w14:textFill>
            <w14:solidFill>
              <w14:schemeClr w14:val="tx1"/>
            </w14:solidFill>
          </w14:textFill>
        </w:rPr>
        <w:t>发展和改革委员会部门决算</w:t>
      </w:r>
      <w:bookmarkEnd w:id="6"/>
      <w:bookmarkEnd w:id="7"/>
      <w:bookmarkEnd w:id="8"/>
      <w:bookmarkEnd w:id="9"/>
      <w:bookmarkEnd w:id="10"/>
      <w:bookmarkEnd w:id="11"/>
    </w:p>
    <w:p w14:paraId="6C17707A">
      <w:pPr>
        <w:widowControl/>
        <w:jc w:val="center"/>
        <w:rPr>
          <w:rFonts w:eastAsia="黑体"/>
          <w:color w:val="000000" w:themeColor="text1"/>
          <w:sz w:val="48"/>
          <w:szCs w:val="48"/>
          <w14:textFill>
            <w14:solidFill>
              <w14:schemeClr w14:val="tx1"/>
            </w14:solidFill>
          </w14:textFill>
        </w:rPr>
      </w:pPr>
    </w:p>
    <w:p w14:paraId="404E4010">
      <w:pPr>
        <w:widowControl/>
        <w:jc w:val="center"/>
        <w:rPr>
          <w:rFonts w:eastAsia="黑体"/>
          <w:color w:val="000000" w:themeColor="text1"/>
          <w:sz w:val="48"/>
          <w:szCs w:val="48"/>
          <w14:textFill>
            <w14:solidFill>
              <w14:schemeClr w14:val="tx1"/>
            </w14:solidFill>
          </w14:textFill>
        </w:rPr>
      </w:pPr>
    </w:p>
    <w:p w14:paraId="0AC01CA0">
      <w:pPr>
        <w:widowControl/>
        <w:jc w:val="center"/>
        <w:rPr>
          <w:rFonts w:eastAsia="黑体"/>
          <w:color w:val="000000" w:themeColor="text1"/>
          <w:sz w:val="48"/>
          <w:szCs w:val="48"/>
          <w14:textFill>
            <w14:solidFill>
              <w14:schemeClr w14:val="tx1"/>
            </w14:solidFill>
          </w14:textFill>
        </w:rPr>
      </w:pPr>
    </w:p>
    <w:p w14:paraId="5806AE1B">
      <w:pPr>
        <w:widowControl/>
        <w:jc w:val="center"/>
        <w:rPr>
          <w:rFonts w:eastAsia="黑体"/>
          <w:color w:val="000000" w:themeColor="text1"/>
          <w:sz w:val="48"/>
          <w:szCs w:val="48"/>
          <w14:textFill>
            <w14:solidFill>
              <w14:schemeClr w14:val="tx1"/>
            </w14:solidFill>
          </w14:textFill>
        </w:rPr>
      </w:pPr>
    </w:p>
    <w:p w14:paraId="6194ECBD">
      <w:pPr>
        <w:widowControl/>
        <w:jc w:val="center"/>
        <w:rPr>
          <w:rFonts w:eastAsia="黑体"/>
          <w:color w:val="000000" w:themeColor="text1"/>
          <w:sz w:val="48"/>
          <w:szCs w:val="48"/>
          <w14:textFill>
            <w14:solidFill>
              <w14:schemeClr w14:val="tx1"/>
            </w14:solidFill>
          </w14:textFill>
        </w:rPr>
      </w:pPr>
    </w:p>
    <w:p w14:paraId="171C672B">
      <w:pPr>
        <w:widowControl/>
        <w:jc w:val="center"/>
        <w:rPr>
          <w:rFonts w:eastAsia="黑体"/>
          <w:color w:val="000000" w:themeColor="text1"/>
          <w:sz w:val="48"/>
          <w:szCs w:val="48"/>
          <w14:textFill>
            <w14:solidFill>
              <w14:schemeClr w14:val="tx1"/>
            </w14:solidFill>
          </w14:textFill>
        </w:rPr>
      </w:pPr>
    </w:p>
    <w:p w14:paraId="6D701A73">
      <w:pPr>
        <w:widowControl/>
        <w:jc w:val="center"/>
        <w:rPr>
          <w:rFonts w:eastAsia="黑体"/>
          <w:color w:val="000000" w:themeColor="text1"/>
          <w:sz w:val="48"/>
          <w:szCs w:val="48"/>
          <w14:textFill>
            <w14:solidFill>
              <w14:schemeClr w14:val="tx1"/>
            </w14:solidFill>
          </w14:textFill>
        </w:rPr>
      </w:pPr>
    </w:p>
    <w:p w14:paraId="35AA5A25">
      <w:pPr>
        <w:widowControl/>
        <w:jc w:val="center"/>
        <w:rPr>
          <w:rFonts w:eastAsia="黑体"/>
          <w:color w:val="000000" w:themeColor="text1"/>
          <w:sz w:val="48"/>
          <w:szCs w:val="48"/>
          <w14:textFill>
            <w14:solidFill>
              <w14:schemeClr w14:val="tx1"/>
            </w14:solidFill>
          </w14:textFill>
        </w:rPr>
      </w:pPr>
    </w:p>
    <w:p w14:paraId="2ABDD29A">
      <w:pPr>
        <w:widowControl/>
        <w:jc w:val="center"/>
        <w:rPr>
          <w:rFonts w:eastAsia="黑体"/>
          <w:color w:val="000000" w:themeColor="text1"/>
          <w:sz w:val="48"/>
          <w:szCs w:val="48"/>
          <w14:textFill>
            <w14:solidFill>
              <w14:schemeClr w14:val="tx1"/>
            </w14:solidFill>
          </w14:textFill>
        </w:rPr>
      </w:pPr>
    </w:p>
    <w:p w14:paraId="6FF3AD24">
      <w:pPr>
        <w:widowControl/>
        <w:jc w:val="center"/>
        <w:rPr>
          <w:rFonts w:eastAsia="黑体"/>
          <w:color w:val="000000" w:themeColor="text1"/>
          <w:sz w:val="48"/>
          <w:szCs w:val="48"/>
          <w14:textFill>
            <w14:solidFill>
              <w14:schemeClr w14:val="tx1"/>
            </w14:solidFill>
          </w14:textFill>
        </w:rPr>
      </w:pPr>
    </w:p>
    <w:p w14:paraId="19A5A0C4">
      <w:pPr>
        <w:widowControl/>
        <w:jc w:val="center"/>
        <w:rPr>
          <w:rFonts w:eastAsia="黑体"/>
          <w:color w:val="000000" w:themeColor="text1"/>
          <w:sz w:val="48"/>
          <w:szCs w:val="48"/>
          <w14:textFill>
            <w14:solidFill>
              <w14:schemeClr w14:val="tx1"/>
            </w14:solidFill>
          </w14:textFill>
        </w:rPr>
      </w:pPr>
    </w:p>
    <w:p w14:paraId="389369C7">
      <w:pPr>
        <w:widowControl/>
        <w:jc w:val="center"/>
        <w:rPr>
          <w:rFonts w:eastAsia="黑体"/>
          <w:color w:val="000000" w:themeColor="text1"/>
          <w:sz w:val="48"/>
          <w:szCs w:val="48"/>
          <w14:textFill>
            <w14:solidFill>
              <w14:schemeClr w14:val="tx1"/>
            </w14:solidFill>
          </w14:textFill>
        </w:rPr>
      </w:pPr>
    </w:p>
    <w:p w14:paraId="539CEF34">
      <w:pPr>
        <w:widowControl/>
        <w:jc w:val="center"/>
        <w:rPr>
          <w:rFonts w:eastAsia="黑体"/>
          <w:color w:val="000000" w:themeColor="text1"/>
          <w:sz w:val="48"/>
          <w:szCs w:val="48"/>
          <w14:textFill>
            <w14:solidFill>
              <w14:schemeClr w14:val="tx1"/>
            </w14:solidFill>
          </w14:textFill>
        </w:rPr>
      </w:pPr>
    </w:p>
    <w:p w14:paraId="39EF539A">
      <w:pPr>
        <w:widowControl/>
        <w:rPr>
          <w:rFonts w:eastAsia="黑体"/>
          <w:color w:val="000000" w:themeColor="text1"/>
          <w:sz w:val="48"/>
          <w:szCs w:val="48"/>
          <w14:textFill>
            <w14:solidFill>
              <w14:schemeClr w14:val="tx1"/>
            </w14:solidFill>
          </w14:textFill>
        </w:rPr>
      </w:pPr>
    </w:p>
    <w:sdt>
      <w:sdtPr>
        <w:rPr>
          <w:rFonts w:ascii="宋体" w:hAnsi="宋体"/>
          <w:color w:val="000000" w:themeColor="text1"/>
          <w14:textFill>
            <w14:solidFill>
              <w14:schemeClr w14:val="tx1"/>
            </w14:solidFill>
          </w14:textFill>
        </w:rPr>
        <w:id w:val="147454732"/>
        <w15:color w:val="DBDBDB"/>
        <w:docPartObj>
          <w:docPartGallery w:val="Table of Contents"/>
          <w:docPartUnique/>
        </w:docPartObj>
      </w:sdtPr>
      <w:sdtEndPr>
        <w:rPr>
          <w:rFonts w:ascii="宋体" w:hAnsi="宋体"/>
          <w:color w:val="000000" w:themeColor="text1"/>
          <w14:textFill>
            <w14:solidFill>
              <w14:schemeClr w14:val="tx1"/>
            </w14:solidFill>
          </w14:textFill>
        </w:rPr>
      </w:sdtEndPr>
      <w:sdtContent>
        <w:p w14:paraId="64277D96">
          <w:pPr>
            <w:keepNext w:val="0"/>
            <w:keepLines w:val="0"/>
            <w:pageBreakBefore w:val="0"/>
            <w:widowControl w:val="0"/>
            <w:kinsoku/>
            <w:wordWrap/>
            <w:overflowPunct/>
            <w:topLinePunct w:val="0"/>
            <w:autoSpaceDE/>
            <w:autoSpaceDN/>
            <w:bidi w:val="0"/>
            <w:adjustRightInd/>
            <w:snapToGrid/>
            <w:jc w:val="center"/>
            <w:textAlignment w:val="auto"/>
            <w:rPr>
              <w:rFonts w:ascii="黑体" w:hAnsi="黑体" w:eastAsia="黑体" w:cs="黑体"/>
              <w:color w:val="000000" w:themeColor="text1"/>
              <w:sz w:val="48"/>
              <w:szCs w:val="48"/>
              <w14:textFill>
                <w14:solidFill>
                  <w14:schemeClr w14:val="tx1"/>
                </w14:solidFill>
              </w14:textFill>
            </w:rPr>
          </w:pPr>
          <w:r>
            <w:rPr>
              <w:rFonts w:hint="eastAsia" w:ascii="黑体" w:hAnsi="黑体" w:eastAsia="黑体" w:cs="黑体"/>
              <w:color w:val="000000" w:themeColor="text1"/>
              <w:sz w:val="48"/>
              <w:szCs w:val="48"/>
              <w14:textFill>
                <w14:solidFill>
                  <w14:schemeClr w14:val="tx1"/>
                </w14:solidFill>
              </w14:textFill>
            </w:rPr>
            <w:t>目录</w:t>
          </w:r>
        </w:p>
        <w:p w14:paraId="1578130F">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color w:val="000000" w:themeColor="text1"/>
              <w14:textFill>
                <w14:solidFill>
                  <w14:schemeClr w14:val="tx1"/>
                </w14:solidFill>
              </w14:textFill>
            </w:rPr>
          </w:pPr>
        </w:p>
        <w:p w14:paraId="6A8D187F">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color w:val="000000" w:themeColor="text1"/>
              <w14:textFill>
                <w14:solidFill>
                  <w14:schemeClr w14:val="tx1"/>
                </w14:solidFill>
              </w14:textFill>
            </w:rPr>
          </w:pPr>
        </w:p>
        <w:p w14:paraId="06F0797E">
          <w:pPr>
            <w:pStyle w:val="13"/>
            <w:keepNext w:val="0"/>
            <w:keepLines w:val="0"/>
            <w:pageBreakBefore w:val="0"/>
            <w:widowControl w:val="0"/>
            <w:kinsoku/>
            <w:wordWrap/>
            <w:overflowPunct/>
            <w:topLinePunct w:val="0"/>
            <w:autoSpaceDE/>
            <w:autoSpaceDN/>
            <w:bidi w:val="0"/>
            <w:adjustRightInd/>
            <w:snapToGrid/>
            <w:textAlignment w:val="auto"/>
            <w:rPr>
              <w:rFonts w:ascii="Times New Roman" w:hAnsi="Times New Roman"/>
              <w:color w:val="000000" w:themeColor="text1"/>
              <w14:textFill>
                <w14:solidFill>
                  <w14:schemeClr w14:val="tx1"/>
                </w14:solidFill>
              </w14:textFill>
            </w:rPr>
          </w:pPr>
          <w:r>
            <w:rPr>
              <w:rFonts w:hint="eastAsia" w:ascii="Times New Roman" w:hAnsi="Times New Roman" w:eastAsia="仿宋_GB2312" w:cs="仿宋_GB2312"/>
              <w:color w:val="000000" w:themeColor="text1"/>
              <w:sz w:val="32"/>
              <w:szCs w:val="32"/>
              <w14:textFill>
                <w14:solidFill>
                  <w14:schemeClr w14:val="tx1"/>
                </w14:solidFill>
              </w14:textFill>
            </w:rPr>
            <w:t>公开时间：2026年  月  日</w:t>
          </w:r>
        </w:p>
        <w:p w14:paraId="5D26DE05">
          <w:pPr>
            <w:jc w:val="center"/>
            <w:rPr>
              <w:rFonts w:ascii="宋体" w:hAnsi="宋体"/>
              <w:color w:val="000000" w:themeColor="text1"/>
              <w14:textFill>
                <w14:solidFill>
                  <w14:schemeClr w14:val="tx1"/>
                </w14:solidFill>
              </w14:textFill>
            </w:rPr>
          </w:pPr>
        </w:p>
        <w:p w14:paraId="765C944A">
          <w:pPr>
            <w:pStyle w:val="13"/>
            <w:keepNext w:val="0"/>
            <w:keepLines w:val="0"/>
            <w:pageBreakBefore w:val="0"/>
            <w:widowControl w:val="0"/>
            <w:tabs>
              <w:tab w:val="right" w:leader="dot" w:pos="8306"/>
              <w:tab w:val="clear" w:pos="8296"/>
            </w:tabs>
            <w:kinsoku/>
            <w:wordWrap/>
            <w:overflowPunct/>
            <w:topLinePunct w:val="0"/>
            <w:autoSpaceDE/>
            <w:autoSpaceDN/>
            <w:bidi w:val="0"/>
            <w:adjustRightInd/>
            <w:snapToGrid/>
            <w:spacing w:before="0" w:line="560" w:lineRule="exact"/>
            <w:textAlignment w:val="auto"/>
            <w:rPr>
              <w:rFonts w:ascii="Times New Roman" w:hAnsi="Times New Roman" w:eastAsia="仿宋_GB2312"/>
              <w:color w:val="000000" w:themeColor="text1"/>
              <w:sz w:val="32"/>
              <w:szCs w:val="32"/>
              <w14:textFill>
                <w14:solidFill>
                  <w14:schemeClr w14:val="tx1"/>
                </w14:solidFill>
              </w14:textFill>
            </w:rPr>
          </w:pPr>
          <w:r>
            <w:rPr>
              <w:rFonts w:ascii="Times New Roman" w:hAnsi="Times New Roman" w:eastAsia="仿宋_GB2312"/>
              <w:color w:val="000000" w:themeColor="text1"/>
              <w:sz w:val="32"/>
              <w:szCs w:val="32"/>
              <w14:textFill>
                <w14:solidFill>
                  <w14:schemeClr w14:val="tx1"/>
                </w14:solidFill>
              </w14:textFill>
            </w:rPr>
            <w:fldChar w:fldCharType="begin"/>
          </w:r>
          <w:r>
            <w:rPr>
              <w:rFonts w:ascii="Times New Roman" w:hAnsi="Times New Roman" w:eastAsia="仿宋_GB2312"/>
              <w:color w:val="000000" w:themeColor="text1"/>
              <w:sz w:val="32"/>
              <w:szCs w:val="32"/>
              <w14:textFill>
                <w14:solidFill>
                  <w14:schemeClr w14:val="tx1"/>
                </w14:solidFill>
              </w14:textFill>
            </w:rPr>
            <w:instrText xml:space="preserve">TOC \o "1-2" \h \u </w:instrText>
          </w:r>
          <w:r>
            <w:rPr>
              <w:rFonts w:ascii="Times New Roman" w:hAnsi="Times New Roman" w:eastAsia="仿宋_GB2312"/>
              <w:color w:val="000000" w:themeColor="text1"/>
              <w:sz w:val="32"/>
              <w:szCs w:val="32"/>
              <w14:textFill>
                <w14:solidFill>
                  <w14:schemeClr w14:val="tx1"/>
                </w14:solidFill>
              </w14:textFill>
            </w:rPr>
            <w:fldChar w:fldCharType="separate"/>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"_Toc11762" </w:instrText>
          </w:r>
          <w:r>
            <w:rPr>
              <w:color w:val="000000" w:themeColor="text1"/>
              <w14:textFill>
                <w14:solidFill>
                  <w14:schemeClr w14:val="tx1"/>
                </w14:solidFill>
              </w14:textFill>
            </w:rPr>
            <w:fldChar w:fldCharType="separate"/>
          </w:r>
          <w:r>
            <w:rPr>
              <w:rFonts w:ascii="Times New Roman" w:hAnsi="Times New Roman" w:eastAsia="黑体"/>
              <w:color w:val="000000" w:themeColor="text1"/>
              <w:sz w:val="32"/>
              <w:szCs w:val="32"/>
              <w14:textFill>
                <w14:solidFill>
                  <w14:schemeClr w14:val="tx1"/>
                </w14:solidFill>
              </w14:textFill>
            </w:rPr>
            <w:t>第一部分  部门概况</w:t>
          </w:r>
          <w:r>
            <w:rPr>
              <w:rFonts w:ascii="Times New Roman" w:hAnsi="Times New Roman" w:eastAsia="黑体"/>
              <w:color w:val="000000" w:themeColor="text1"/>
              <w:sz w:val="32"/>
              <w:szCs w:val="32"/>
              <w14:textFill>
                <w14:solidFill>
                  <w14:schemeClr w14:val="tx1"/>
                </w14:solidFill>
              </w14:textFill>
            </w:rPr>
            <w:tab/>
          </w:r>
          <w:r>
            <w:rPr>
              <w:rFonts w:hint="eastAsia" w:ascii="Times New Roman" w:hAnsi="Times New Roman" w:eastAsia="黑体"/>
              <w:color w:val="000000" w:themeColor="text1"/>
              <w:sz w:val="32"/>
              <w:szCs w:val="32"/>
              <w14:textFill>
                <w14:solidFill>
                  <w14:schemeClr w14:val="tx1"/>
                </w14:solidFill>
              </w14:textFill>
            </w:rPr>
            <w:t>1</w:t>
          </w:r>
          <w:r>
            <w:rPr>
              <w:rFonts w:hint="eastAsia" w:ascii="Times New Roman" w:hAnsi="Times New Roman" w:eastAsia="黑体"/>
              <w:color w:val="000000" w:themeColor="text1"/>
              <w:sz w:val="32"/>
              <w:szCs w:val="32"/>
              <w14:textFill>
                <w14:solidFill>
                  <w14:schemeClr w14:val="tx1"/>
                </w14:solidFill>
              </w14:textFill>
            </w:rPr>
            <w:fldChar w:fldCharType="end"/>
          </w:r>
        </w:p>
        <w:p w14:paraId="3D02242A">
          <w:pPr>
            <w:pStyle w:val="15"/>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560" w:lineRule="exact"/>
            <w:textAlignment w:val="auto"/>
            <w:rPr>
              <w:rFonts w:eastAsia="仿宋_GB2312"/>
              <w:color w:val="000000" w:themeColor="text1"/>
              <w:sz w:val="32"/>
              <w:szCs w:val="32"/>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"_Toc11296" </w:instrText>
          </w:r>
          <w:r>
            <w:rPr>
              <w:color w:val="000000" w:themeColor="text1"/>
              <w14:textFill>
                <w14:solidFill>
                  <w14:schemeClr w14:val="tx1"/>
                </w14:solidFill>
              </w14:textFill>
            </w:rPr>
            <w:fldChar w:fldCharType="separate"/>
          </w:r>
          <w:r>
            <w:rPr>
              <w:rFonts w:eastAsia="仿宋_GB2312"/>
              <w:color w:val="000000" w:themeColor="text1"/>
              <w:sz w:val="32"/>
              <w:szCs w:val="32"/>
              <w14:textFill>
                <w14:solidFill>
                  <w14:schemeClr w14:val="tx1"/>
                </w14:solidFill>
              </w14:textFill>
            </w:rPr>
            <w:t>一、部门职责</w:t>
          </w:r>
          <w:r>
            <w:rPr>
              <w:rFonts w:eastAsia="仿宋_GB2312"/>
              <w:color w:val="000000" w:themeColor="text1"/>
              <w:sz w:val="32"/>
              <w:szCs w:val="32"/>
              <w14:textFill>
                <w14:solidFill>
                  <w14:schemeClr w14:val="tx1"/>
                </w14:solidFill>
              </w14:textFill>
            </w:rPr>
            <w:tab/>
          </w:r>
          <w:r>
            <w:rPr>
              <w:rFonts w:eastAsia="仿宋_GB2312"/>
              <w:color w:val="000000" w:themeColor="text1"/>
              <w:sz w:val="32"/>
              <w:szCs w:val="32"/>
              <w14:textFill>
                <w14:solidFill>
                  <w14:schemeClr w14:val="tx1"/>
                </w14:solidFill>
              </w14:textFill>
            </w:rPr>
            <w:fldChar w:fldCharType="begin"/>
          </w:r>
          <w:r>
            <w:rPr>
              <w:rFonts w:eastAsia="仿宋_GB2312"/>
              <w:color w:val="000000" w:themeColor="text1"/>
              <w:sz w:val="32"/>
              <w:szCs w:val="32"/>
              <w14:textFill>
                <w14:solidFill>
                  <w14:schemeClr w14:val="tx1"/>
                </w14:solidFill>
              </w14:textFill>
            </w:rPr>
            <w:instrText xml:space="preserve"> PAGEREF _Toc11296 \h </w:instrText>
          </w:r>
          <w:r>
            <w:rPr>
              <w:rFonts w:eastAsia="仿宋_GB2312"/>
              <w:color w:val="000000" w:themeColor="text1"/>
              <w:sz w:val="32"/>
              <w:szCs w:val="32"/>
              <w14:textFill>
                <w14:solidFill>
                  <w14:schemeClr w14:val="tx1"/>
                </w14:solidFill>
              </w14:textFill>
            </w:rPr>
            <w:fldChar w:fldCharType="separate"/>
          </w:r>
          <w:r>
            <w:rPr>
              <w:rFonts w:eastAsia="仿宋_GB2312"/>
              <w:color w:val="000000" w:themeColor="text1"/>
              <w:sz w:val="32"/>
              <w:szCs w:val="32"/>
              <w14:textFill>
                <w14:solidFill>
                  <w14:schemeClr w14:val="tx1"/>
                </w14:solidFill>
              </w14:textFill>
            </w:rPr>
            <w:t>1</w:t>
          </w:r>
          <w:r>
            <w:rPr>
              <w:rFonts w:eastAsia="仿宋_GB2312"/>
              <w:color w:val="000000" w:themeColor="text1"/>
              <w:sz w:val="32"/>
              <w:szCs w:val="32"/>
              <w14:textFill>
                <w14:solidFill>
                  <w14:schemeClr w14:val="tx1"/>
                </w14:solidFill>
              </w14:textFill>
            </w:rPr>
            <w:fldChar w:fldCharType="end"/>
          </w:r>
          <w:r>
            <w:rPr>
              <w:rFonts w:eastAsia="仿宋_GB2312"/>
              <w:color w:val="000000" w:themeColor="text1"/>
              <w:sz w:val="32"/>
              <w:szCs w:val="32"/>
              <w14:textFill>
                <w14:solidFill>
                  <w14:schemeClr w14:val="tx1"/>
                </w14:solidFill>
              </w14:textFill>
            </w:rPr>
            <w:fldChar w:fldCharType="end"/>
          </w:r>
        </w:p>
        <w:p w14:paraId="1E4832A8">
          <w:pPr>
            <w:pStyle w:val="15"/>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560" w:lineRule="exact"/>
            <w:textAlignment w:val="auto"/>
            <w:rPr>
              <w:rFonts w:eastAsia="仿宋_GB2312"/>
              <w:color w:val="000000" w:themeColor="text1"/>
              <w:sz w:val="32"/>
              <w:szCs w:val="32"/>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"_Toc9205" </w:instrText>
          </w:r>
          <w:r>
            <w:rPr>
              <w:color w:val="000000" w:themeColor="text1"/>
              <w14:textFill>
                <w14:solidFill>
                  <w14:schemeClr w14:val="tx1"/>
                </w14:solidFill>
              </w14:textFill>
            </w:rPr>
            <w:fldChar w:fldCharType="separate"/>
          </w:r>
          <w:r>
            <w:rPr>
              <w:rFonts w:eastAsia="仿宋_GB2312"/>
              <w:color w:val="000000" w:themeColor="text1"/>
              <w:sz w:val="32"/>
              <w:szCs w:val="32"/>
              <w14:textFill>
                <w14:solidFill>
                  <w14:schemeClr w14:val="tx1"/>
                </w14:solidFill>
              </w14:textFill>
            </w:rPr>
            <w:t>二、机构设置</w:t>
          </w:r>
          <w:r>
            <w:rPr>
              <w:rFonts w:eastAsia="仿宋_GB2312"/>
              <w:color w:val="000000" w:themeColor="text1"/>
              <w:sz w:val="32"/>
              <w:szCs w:val="32"/>
              <w14:textFill>
                <w14:solidFill>
                  <w14:schemeClr w14:val="tx1"/>
                </w14:solidFill>
              </w14:textFill>
            </w:rPr>
            <w:tab/>
          </w:r>
          <w:r>
            <w:rPr>
              <w:rFonts w:eastAsia="仿宋_GB2312"/>
              <w:color w:val="000000" w:themeColor="text1"/>
              <w:sz w:val="32"/>
              <w:szCs w:val="32"/>
              <w14:textFill>
                <w14:solidFill>
                  <w14:schemeClr w14:val="tx1"/>
                </w14:solidFill>
              </w14:textFill>
            </w:rPr>
            <w:fldChar w:fldCharType="begin"/>
          </w:r>
          <w:r>
            <w:rPr>
              <w:rFonts w:eastAsia="仿宋_GB2312"/>
              <w:color w:val="000000" w:themeColor="text1"/>
              <w:sz w:val="32"/>
              <w:szCs w:val="32"/>
              <w14:textFill>
                <w14:solidFill>
                  <w14:schemeClr w14:val="tx1"/>
                </w14:solidFill>
              </w14:textFill>
            </w:rPr>
            <w:instrText xml:space="preserve"> PAGEREF _Toc9205 \h </w:instrText>
          </w:r>
          <w:r>
            <w:rPr>
              <w:rFonts w:eastAsia="仿宋_GB2312"/>
              <w:color w:val="000000" w:themeColor="text1"/>
              <w:sz w:val="32"/>
              <w:szCs w:val="32"/>
              <w14:textFill>
                <w14:solidFill>
                  <w14:schemeClr w14:val="tx1"/>
                </w14:solidFill>
              </w14:textFill>
            </w:rPr>
            <w:fldChar w:fldCharType="separate"/>
          </w:r>
          <w:r>
            <w:rPr>
              <w:rFonts w:eastAsia="仿宋_GB2312"/>
              <w:color w:val="000000" w:themeColor="text1"/>
              <w:sz w:val="32"/>
              <w:szCs w:val="32"/>
              <w14:textFill>
                <w14:solidFill>
                  <w14:schemeClr w14:val="tx1"/>
                </w14:solidFill>
              </w14:textFill>
            </w:rPr>
            <w:t>2</w:t>
          </w:r>
          <w:r>
            <w:rPr>
              <w:rFonts w:eastAsia="仿宋_GB2312"/>
              <w:color w:val="000000" w:themeColor="text1"/>
              <w:sz w:val="32"/>
              <w:szCs w:val="32"/>
              <w14:textFill>
                <w14:solidFill>
                  <w14:schemeClr w14:val="tx1"/>
                </w14:solidFill>
              </w14:textFill>
            </w:rPr>
            <w:fldChar w:fldCharType="end"/>
          </w:r>
          <w:r>
            <w:rPr>
              <w:rFonts w:eastAsia="仿宋_GB2312"/>
              <w:color w:val="000000" w:themeColor="text1"/>
              <w:sz w:val="32"/>
              <w:szCs w:val="32"/>
              <w14:textFill>
                <w14:solidFill>
                  <w14:schemeClr w14:val="tx1"/>
                </w14:solidFill>
              </w14:textFill>
            </w:rPr>
            <w:fldChar w:fldCharType="end"/>
          </w:r>
        </w:p>
        <w:p w14:paraId="0ECE48F2">
          <w:pPr>
            <w:pStyle w:val="13"/>
            <w:keepNext w:val="0"/>
            <w:keepLines w:val="0"/>
            <w:pageBreakBefore w:val="0"/>
            <w:widowControl w:val="0"/>
            <w:tabs>
              <w:tab w:val="right" w:leader="dot" w:pos="8306"/>
              <w:tab w:val="clear" w:pos="8296"/>
            </w:tabs>
            <w:kinsoku/>
            <w:wordWrap/>
            <w:overflowPunct/>
            <w:topLinePunct w:val="0"/>
            <w:autoSpaceDE/>
            <w:autoSpaceDN/>
            <w:bidi w:val="0"/>
            <w:adjustRightInd/>
            <w:snapToGrid/>
            <w:spacing w:before="0" w:line="560" w:lineRule="exact"/>
            <w:textAlignment w:val="auto"/>
            <w:rPr>
              <w:rFonts w:ascii="Times New Roman" w:hAnsi="Times New Roman" w:eastAsia="仿宋_GB2312"/>
              <w:color w:val="000000" w:themeColor="text1"/>
              <w:sz w:val="32"/>
              <w:szCs w:val="32"/>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"_Toc25284" </w:instrText>
          </w:r>
          <w:r>
            <w:rPr>
              <w:color w:val="000000" w:themeColor="text1"/>
              <w14:textFill>
                <w14:solidFill>
                  <w14:schemeClr w14:val="tx1"/>
                </w14:solidFill>
              </w14:textFill>
            </w:rPr>
            <w:fldChar w:fldCharType="separate"/>
          </w:r>
          <w:r>
            <w:rPr>
              <w:rFonts w:ascii="Times New Roman" w:hAnsi="Times New Roman" w:eastAsia="黑体"/>
              <w:color w:val="000000" w:themeColor="text1"/>
              <w:sz w:val="32"/>
              <w:szCs w:val="32"/>
              <w14:textFill>
                <w14:solidFill>
                  <w14:schemeClr w14:val="tx1"/>
                </w14:solidFill>
              </w14:textFill>
            </w:rPr>
            <w:t>第二部分  2025年度部门决算情况说明</w:t>
          </w:r>
          <w:r>
            <w:rPr>
              <w:rFonts w:ascii="Times New Roman" w:hAnsi="Times New Roman" w:eastAsia="仿宋_GB2312"/>
              <w:color w:val="000000" w:themeColor="text1"/>
              <w:sz w:val="32"/>
              <w:szCs w:val="32"/>
              <w14:textFill>
                <w14:solidFill>
                  <w14:schemeClr w14:val="tx1"/>
                </w14:solidFill>
              </w14:textFill>
            </w:rPr>
            <w:tab/>
          </w:r>
          <w:r>
            <w:rPr>
              <w:rFonts w:ascii="Times New Roman" w:hAnsi="Times New Roman" w:eastAsia="仿宋_GB2312"/>
              <w:color w:val="000000" w:themeColor="text1"/>
              <w:sz w:val="32"/>
              <w:szCs w:val="32"/>
              <w14:textFill>
                <w14:solidFill>
                  <w14:schemeClr w14:val="tx1"/>
                </w14:solidFill>
              </w14:textFill>
            </w:rPr>
            <w:fldChar w:fldCharType="begin"/>
          </w:r>
          <w:r>
            <w:rPr>
              <w:rFonts w:ascii="Times New Roman" w:hAnsi="Times New Roman" w:eastAsia="仿宋_GB2312"/>
              <w:color w:val="000000" w:themeColor="text1"/>
              <w:sz w:val="32"/>
              <w:szCs w:val="32"/>
              <w14:textFill>
                <w14:solidFill>
                  <w14:schemeClr w14:val="tx1"/>
                </w14:solidFill>
              </w14:textFill>
            </w:rPr>
            <w:instrText xml:space="preserve"> PAGEREF _Toc25284 \h </w:instrText>
          </w:r>
          <w:r>
            <w:rPr>
              <w:rFonts w:ascii="Times New Roman" w:hAnsi="Times New Roman" w:eastAsia="仿宋_GB2312"/>
              <w:color w:val="000000" w:themeColor="text1"/>
              <w:sz w:val="32"/>
              <w:szCs w:val="32"/>
              <w14:textFill>
                <w14:solidFill>
                  <w14:schemeClr w14:val="tx1"/>
                </w14:solidFill>
              </w14:textFill>
            </w:rPr>
            <w:fldChar w:fldCharType="separate"/>
          </w:r>
          <w:r>
            <w:rPr>
              <w:rFonts w:ascii="Times New Roman" w:hAnsi="Times New Roman" w:eastAsia="仿宋_GB2312"/>
              <w:color w:val="000000" w:themeColor="text1"/>
              <w:sz w:val="32"/>
              <w:szCs w:val="32"/>
              <w14:textFill>
                <w14:solidFill>
                  <w14:schemeClr w14:val="tx1"/>
                </w14:solidFill>
              </w14:textFill>
            </w:rPr>
            <w:t>3</w:t>
          </w:r>
          <w:r>
            <w:rPr>
              <w:rFonts w:ascii="Times New Roman" w:hAnsi="Times New Roman" w:eastAsia="仿宋_GB2312"/>
              <w:color w:val="000000" w:themeColor="text1"/>
              <w:sz w:val="32"/>
              <w:szCs w:val="32"/>
              <w14:textFill>
                <w14:solidFill>
                  <w14:schemeClr w14:val="tx1"/>
                </w14:solidFill>
              </w14:textFill>
            </w:rPr>
            <w:fldChar w:fldCharType="end"/>
          </w:r>
          <w:r>
            <w:rPr>
              <w:rFonts w:ascii="Times New Roman" w:hAnsi="Times New Roman" w:eastAsia="仿宋_GB2312"/>
              <w:color w:val="000000" w:themeColor="text1"/>
              <w:sz w:val="32"/>
              <w:szCs w:val="32"/>
              <w14:textFill>
                <w14:solidFill>
                  <w14:schemeClr w14:val="tx1"/>
                </w14:solidFill>
              </w14:textFill>
            </w:rPr>
            <w:fldChar w:fldCharType="end"/>
          </w:r>
        </w:p>
        <w:p w14:paraId="19042C73">
          <w:pPr>
            <w:pStyle w:val="15"/>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560" w:lineRule="exact"/>
            <w:textAlignment w:val="auto"/>
            <w:rPr>
              <w:rFonts w:eastAsia="仿宋_GB2312"/>
              <w:color w:val="000000" w:themeColor="text1"/>
              <w:sz w:val="32"/>
              <w:szCs w:val="32"/>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"_Toc31517" </w:instrText>
          </w:r>
          <w:r>
            <w:rPr>
              <w:color w:val="000000" w:themeColor="text1"/>
              <w14:textFill>
                <w14:solidFill>
                  <w14:schemeClr w14:val="tx1"/>
                </w14:solidFill>
              </w14:textFill>
            </w:rPr>
            <w:fldChar w:fldCharType="separate"/>
          </w:r>
          <w:r>
            <w:rPr>
              <w:rFonts w:eastAsia="仿宋_GB2312"/>
              <w:color w:val="000000" w:themeColor="text1"/>
              <w:sz w:val="32"/>
              <w:szCs w:val="32"/>
              <w14:textFill>
                <w14:solidFill>
                  <w14:schemeClr w14:val="tx1"/>
                </w14:solidFill>
              </w14:textFill>
            </w:rPr>
            <w:t>一、收入支出决算总体情况说明</w:t>
          </w:r>
          <w:r>
            <w:rPr>
              <w:rFonts w:eastAsia="仿宋_GB2312"/>
              <w:color w:val="000000" w:themeColor="text1"/>
              <w:sz w:val="32"/>
              <w:szCs w:val="32"/>
              <w14:textFill>
                <w14:solidFill>
                  <w14:schemeClr w14:val="tx1"/>
                </w14:solidFill>
              </w14:textFill>
            </w:rPr>
            <w:tab/>
          </w:r>
          <w:r>
            <w:rPr>
              <w:rFonts w:eastAsia="仿宋_GB2312"/>
              <w:color w:val="000000" w:themeColor="text1"/>
              <w:sz w:val="32"/>
              <w:szCs w:val="32"/>
              <w14:textFill>
                <w14:solidFill>
                  <w14:schemeClr w14:val="tx1"/>
                </w14:solidFill>
              </w14:textFill>
            </w:rPr>
            <w:fldChar w:fldCharType="begin"/>
          </w:r>
          <w:r>
            <w:rPr>
              <w:rFonts w:eastAsia="仿宋_GB2312"/>
              <w:color w:val="000000" w:themeColor="text1"/>
              <w:sz w:val="32"/>
              <w:szCs w:val="32"/>
              <w14:textFill>
                <w14:solidFill>
                  <w14:schemeClr w14:val="tx1"/>
                </w14:solidFill>
              </w14:textFill>
            </w:rPr>
            <w:instrText xml:space="preserve"> PAGEREF _Toc31517 \h </w:instrText>
          </w:r>
          <w:r>
            <w:rPr>
              <w:rFonts w:eastAsia="仿宋_GB2312"/>
              <w:color w:val="000000" w:themeColor="text1"/>
              <w:sz w:val="32"/>
              <w:szCs w:val="32"/>
              <w14:textFill>
                <w14:solidFill>
                  <w14:schemeClr w14:val="tx1"/>
                </w14:solidFill>
              </w14:textFill>
            </w:rPr>
            <w:fldChar w:fldCharType="separate"/>
          </w:r>
          <w:r>
            <w:rPr>
              <w:rFonts w:eastAsia="仿宋_GB2312"/>
              <w:color w:val="000000" w:themeColor="text1"/>
              <w:sz w:val="32"/>
              <w:szCs w:val="32"/>
              <w14:textFill>
                <w14:solidFill>
                  <w14:schemeClr w14:val="tx1"/>
                </w14:solidFill>
              </w14:textFill>
            </w:rPr>
            <w:t>3</w:t>
          </w:r>
          <w:r>
            <w:rPr>
              <w:rFonts w:eastAsia="仿宋_GB2312"/>
              <w:color w:val="000000" w:themeColor="text1"/>
              <w:sz w:val="32"/>
              <w:szCs w:val="32"/>
              <w14:textFill>
                <w14:solidFill>
                  <w14:schemeClr w14:val="tx1"/>
                </w14:solidFill>
              </w14:textFill>
            </w:rPr>
            <w:fldChar w:fldCharType="end"/>
          </w:r>
          <w:r>
            <w:rPr>
              <w:rFonts w:eastAsia="仿宋_GB2312"/>
              <w:color w:val="000000" w:themeColor="text1"/>
              <w:sz w:val="32"/>
              <w:szCs w:val="32"/>
              <w14:textFill>
                <w14:solidFill>
                  <w14:schemeClr w14:val="tx1"/>
                </w14:solidFill>
              </w14:textFill>
            </w:rPr>
            <w:fldChar w:fldCharType="end"/>
          </w:r>
        </w:p>
        <w:p w14:paraId="5970D3FB">
          <w:pPr>
            <w:pStyle w:val="15"/>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560" w:lineRule="exact"/>
            <w:textAlignment w:val="auto"/>
            <w:rPr>
              <w:rFonts w:eastAsia="仿宋_GB2312"/>
              <w:color w:val="000000" w:themeColor="text1"/>
              <w:sz w:val="32"/>
              <w:szCs w:val="32"/>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"_Toc7348" </w:instrText>
          </w:r>
          <w:r>
            <w:rPr>
              <w:color w:val="000000" w:themeColor="text1"/>
              <w14:textFill>
                <w14:solidFill>
                  <w14:schemeClr w14:val="tx1"/>
                </w14:solidFill>
              </w14:textFill>
            </w:rPr>
            <w:fldChar w:fldCharType="separate"/>
          </w:r>
          <w:r>
            <w:rPr>
              <w:rFonts w:eastAsia="仿宋_GB2312"/>
              <w:color w:val="000000" w:themeColor="text1"/>
              <w:sz w:val="32"/>
              <w:szCs w:val="32"/>
              <w14:textFill>
                <w14:solidFill>
                  <w14:schemeClr w14:val="tx1"/>
                </w14:solidFill>
              </w14:textFill>
            </w:rPr>
            <w:t>二、收入决算情况说明</w:t>
          </w:r>
          <w:r>
            <w:rPr>
              <w:rFonts w:eastAsia="仿宋_GB2312"/>
              <w:color w:val="000000" w:themeColor="text1"/>
              <w:sz w:val="32"/>
              <w:szCs w:val="32"/>
              <w14:textFill>
                <w14:solidFill>
                  <w14:schemeClr w14:val="tx1"/>
                </w14:solidFill>
              </w14:textFill>
            </w:rPr>
            <w:tab/>
          </w:r>
          <w:r>
            <w:rPr>
              <w:rFonts w:eastAsia="仿宋_GB2312"/>
              <w:color w:val="000000" w:themeColor="text1"/>
              <w:sz w:val="32"/>
              <w:szCs w:val="32"/>
              <w14:textFill>
                <w14:solidFill>
                  <w14:schemeClr w14:val="tx1"/>
                </w14:solidFill>
              </w14:textFill>
            </w:rPr>
            <w:fldChar w:fldCharType="begin"/>
          </w:r>
          <w:r>
            <w:rPr>
              <w:rFonts w:eastAsia="仿宋_GB2312"/>
              <w:color w:val="000000" w:themeColor="text1"/>
              <w:sz w:val="32"/>
              <w:szCs w:val="32"/>
              <w14:textFill>
                <w14:solidFill>
                  <w14:schemeClr w14:val="tx1"/>
                </w14:solidFill>
              </w14:textFill>
            </w:rPr>
            <w:instrText xml:space="preserve"> PAGEREF _Toc7348 \h </w:instrText>
          </w:r>
          <w:r>
            <w:rPr>
              <w:rFonts w:eastAsia="仿宋_GB2312"/>
              <w:color w:val="000000" w:themeColor="text1"/>
              <w:sz w:val="32"/>
              <w:szCs w:val="32"/>
              <w14:textFill>
                <w14:solidFill>
                  <w14:schemeClr w14:val="tx1"/>
                </w14:solidFill>
              </w14:textFill>
            </w:rPr>
            <w:fldChar w:fldCharType="separate"/>
          </w:r>
          <w:r>
            <w:rPr>
              <w:rFonts w:eastAsia="仿宋_GB2312"/>
              <w:color w:val="000000" w:themeColor="text1"/>
              <w:sz w:val="32"/>
              <w:szCs w:val="32"/>
              <w14:textFill>
                <w14:solidFill>
                  <w14:schemeClr w14:val="tx1"/>
                </w14:solidFill>
              </w14:textFill>
            </w:rPr>
            <w:t>3</w:t>
          </w:r>
          <w:r>
            <w:rPr>
              <w:rFonts w:eastAsia="仿宋_GB2312"/>
              <w:color w:val="000000" w:themeColor="text1"/>
              <w:sz w:val="32"/>
              <w:szCs w:val="32"/>
              <w14:textFill>
                <w14:solidFill>
                  <w14:schemeClr w14:val="tx1"/>
                </w14:solidFill>
              </w14:textFill>
            </w:rPr>
            <w:fldChar w:fldCharType="end"/>
          </w:r>
          <w:r>
            <w:rPr>
              <w:rFonts w:eastAsia="仿宋_GB2312"/>
              <w:color w:val="000000" w:themeColor="text1"/>
              <w:sz w:val="32"/>
              <w:szCs w:val="32"/>
              <w14:textFill>
                <w14:solidFill>
                  <w14:schemeClr w14:val="tx1"/>
                </w14:solidFill>
              </w14:textFill>
            </w:rPr>
            <w:fldChar w:fldCharType="end"/>
          </w:r>
        </w:p>
        <w:p w14:paraId="7E602B46">
          <w:pPr>
            <w:pStyle w:val="15"/>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560" w:lineRule="exact"/>
            <w:textAlignment w:val="auto"/>
            <w:rPr>
              <w:rFonts w:eastAsia="仿宋_GB2312"/>
              <w:color w:val="000000" w:themeColor="text1"/>
              <w:sz w:val="32"/>
              <w:szCs w:val="32"/>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"_Toc32064" </w:instrText>
          </w:r>
          <w:r>
            <w:rPr>
              <w:color w:val="000000" w:themeColor="text1"/>
              <w14:textFill>
                <w14:solidFill>
                  <w14:schemeClr w14:val="tx1"/>
                </w14:solidFill>
              </w14:textFill>
            </w:rPr>
            <w:fldChar w:fldCharType="separate"/>
          </w:r>
          <w:r>
            <w:rPr>
              <w:rFonts w:eastAsia="仿宋_GB2312"/>
              <w:color w:val="000000" w:themeColor="text1"/>
              <w:sz w:val="32"/>
              <w:szCs w:val="32"/>
              <w14:textFill>
                <w14:solidFill>
                  <w14:schemeClr w14:val="tx1"/>
                </w14:solidFill>
              </w14:textFill>
            </w:rPr>
            <w:t>三、支出决算情况说明</w:t>
          </w:r>
          <w:r>
            <w:rPr>
              <w:rFonts w:eastAsia="仿宋_GB2312"/>
              <w:color w:val="000000" w:themeColor="text1"/>
              <w:sz w:val="32"/>
              <w:szCs w:val="32"/>
              <w14:textFill>
                <w14:solidFill>
                  <w14:schemeClr w14:val="tx1"/>
                </w14:solidFill>
              </w14:textFill>
            </w:rPr>
            <w:tab/>
          </w:r>
          <w:r>
            <w:rPr>
              <w:rFonts w:eastAsia="仿宋_GB2312"/>
              <w:color w:val="000000" w:themeColor="text1"/>
              <w:sz w:val="32"/>
              <w:szCs w:val="32"/>
              <w14:textFill>
                <w14:solidFill>
                  <w14:schemeClr w14:val="tx1"/>
                </w14:solidFill>
              </w14:textFill>
            </w:rPr>
            <w:fldChar w:fldCharType="begin"/>
          </w:r>
          <w:r>
            <w:rPr>
              <w:rFonts w:eastAsia="仿宋_GB2312"/>
              <w:color w:val="000000" w:themeColor="text1"/>
              <w:sz w:val="32"/>
              <w:szCs w:val="32"/>
              <w14:textFill>
                <w14:solidFill>
                  <w14:schemeClr w14:val="tx1"/>
                </w14:solidFill>
              </w14:textFill>
            </w:rPr>
            <w:instrText xml:space="preserve"> PAGEREF _Toc32064 \h </w:instrText>
          </w:r>
          <w:r>
            <w:rPr>
              <w:rFonts w:eastAsia="仿宋_GB2312"/>
              <w:color w:val="000000" w:themeColor="text1"/>
              <w:sz w:val="32"/>
              <w:szCs w:val="32"/>
              <w14:textFill>
                <w14:solidFill>
                  <w14:schemeClr w14:val="tx1"/>
                </w14:solidFill>
              </w14:textFill>
            </w:rPr>
            <w:fldChar w:fldCharType="separate"/>
          </w:r>
          <w:r>
            <w:rPr>
              <w:rFonts w:eastAsia="仿宋_GB2312"/>
              <w:color w:val="000000" w:themeColor="text1"/>
              <w:sz w:val="32"/>
              <w:szCs w:val="32"/>
              <w14:textFill>
                <w14:solidFill>
                  <w14:schemeClr w14:val="tx1"/>
                </w14:solidFill>
              </w14:textFill>
            </w:rPr>
            <w:t>4</w:t>
          </w:r>
          <w:r>
            <w:rPr>
              <w:rFonts w:eastAsia="仿宋_GB2312"/>
              <w:color w:val="000000" w:themeColor="text1"/>
              <w:sz w:val="32"/>
              <w:szCs w:val="32"/>
              <w14:textFill>
                <w14:solidFill>
                  <w14:schemeClr w14:val="tx1"/>
                </w14:solidFill>
              </w14:textFill>
            </w:rPr>
            <w:fldChar w:fldCharType="end"/>
          </w:r>
          <w:r>
            <w:rPr>
              <w:rFonts w:eastAsia="仿宋_GB2312"/>
              <w:color w:val="000000" w:themeColor="text1"/>
              <w:sz w:val="32"/>
              <w:szCs w:val="32"/>
              <w14:textFill>
                <w14:solidFill>
                  <w14:schemeClr w14:val="tx1"/>
                </w14:solidFill>
              </w14:textFill>
            </w:rPr>
            <w:fldChar w:fldCharType="end"/>
          </w:r>
        </w:p>
        <w:p w14:paraId="66C83215">
          <w:pPr>
            <w:pStyle w:val="15"/>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560" w:lineRule="exact"/>
            <w:textAlignment w:val="auto"/>
            <w:rPr>
              <w:rFonts w:eastAsia="仿宋_GB2312"/>
              <w:color w:val="000000" w:themeColor="text1"/>
              <w:sz w:val="32"/>
              <w:szCs w:val="32"/>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"_Toc15383" </w:instrText>
          </w:r>
          <w:r>
            <w:rPr>
              <w:color w:val="000000" w:themeColor="text1"/>
              <w14:textFill>
                <w14:solidFill>
                  <w14:schemeClr w14:val="tx1"/>
                </w14:solidFill>
              </w14:textFill>
            </w:rPr>
            <w:fldChar w:fldCharType="separate"/>
          </w:r>
          <w:r>
            <w:rPr>
              <w:rFonts w:eastAsia="仿宋_GB2312"/>
              <w:color w:val="000000" w:themeColor="text1"/>
              <w:sz w:val="32"/>
              <w:szCs w:val="32"/>
              <w14:textFill>
                <w14:solidFill>
                  <w14:schemeClr w14:val="tx1"/>
                </w14:solidFill>
              </w14:textFill>
            </w:rPr>
            <w:t>四、财政拨款收入支出决算总体情况说明</w:t>
          </w:r>
          <w:r>
            <w:rPr>
              <w:rFonts w:eastAsia="仿宋_GB2312"/>
              <w:color w:val="000000" w:themeColor="text1"/>
              <w:sz w:val="32"/>
              <w:szCs w:val="32"/>
              <w14:textFill>
                <w14:solidFill>
                  <w14:schemeClr w14:val="tx1"/>
                </w14:solidFill>
              </w14:textFill>
            </w:rPr>
            <w:tab/>
          </w:r>
          <w:r>
            <w:rPr>
              <w:rFonts w:eastAsia="仿宋_GB2312"/>
              <w:color w:val="000000" w:themeColor="text1"/>
              <w:sz w:val="32"/>
              <w:szCs w:val="32"/>
              <w14:textFill>
                <w14:solidFill>
                  <w14:schemeClr w14:val="tx1"/>
                </w14:solidFill>
              </w14:textFill>
            </w:rPr>
            <w:fldChar w:fldCharType="begin"/>
          </w:r>
          <w:r>
            <w:rPr>
              <w:rFonts w:eastAsia="仿宋_GB2312"/>
              <w:color w:val="000000" w:themeColor="text1"/>
              <w:sz w:val="32"/>
              <w:szCs w:val="32"/>
              <w14:textFill>
                <w14:solidFill>
                  <w14:schemeClr w14:val="tx1"/>
                </w14:solidFill>
              </w14:textFill>
            </w:rPr>
            <w:instrText xml:space="preserve"> PAGEREF _Toc15383 \h </w:instrText>
          </w:r>
          <w:r>
            <w:rPr>
              <w:rFonts w:eastAsia="仿宋_GB2312"/>
              <w:color w:val="000000" w:themeColor="text1"/>
              <w:sz w:val="32"/>
              <w:szCs w:val="32"/>
              <w14:textFill>
                <w14:solidFill>
                  <w14:schemeClr w14:val="tx1"/>
                </w14:solidFill>
              </w14:textFill>
            </w:rPr>
            <w:fldChar w:fldCharType="separate"/>
          </w:r>
          <w:r>
            <w:rPr>
              <w:rFonts w:eastAsia="仿宋_GB2312"/>
              <w:color w:val="000000" w:themeColor="text1"/>
              <w:sz w:val="32"/>
              <w:szCs w:val="32"/>
              <w14:textFill>
                <w14:solidFill>
                  <w14:schemeClr w14:val="tx1"/>
                </w14:solidFill>
              </w14:textFill>
            </w:rPr>
            <w:t>5</w:t>
          </w:r>
          <w:r>
            <w:rPr>
              <w:rFonts w:eastAsia="仿宋_GB2312"/>
              <w:color w:val="000000" w:themeColor="text1"/>
              <w:sz w:val="32"/>
              <w:szCs w:val="32"/>
              <w14:textFill>
                <w14:solidFill>
                  <w14:schemeClr w14:val="tx1"/>
                </w14:solidFill>
              </w14:textFill>
            </w:rPr>
            <w:fldChar w:fldCharType="end"/>
          </w:r>
          <w:r>
            <w:rPr>
              <w:rFonts w:eastAsia="仿宋_GB2312"/>
              <w:color w:val="000000" w:themeColor="text1"/>
              <w:sz w:val="32"/>
              <w:szCs w:val="32"/>
              <w14:textFill>
                <w14:solidFill>
                  <w14:schemeClr w14:val="tx1"/>
                </w14:solidFill>
              </w14:textFill>
            </w:rPr>
            <w:fldChar w:fldCharType="end"/>
          </w:r>
        </w:p>
        <w:p w14:paraId="30B15D10">
          <w:pPr>
            <w:pStyle w:val="15"/>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560" w:lineRule="exact"/>
            <w:textAlignment w:val="auto"/>
            <w:rPr>
              <w:rFonts w:eastAsia="仿宋_GB2312"/>
              <w:color w:val="000000" w:themeColor="text1"/>
              <w:sz w:val="32"/>
              <w:szCs w:val="32"/>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"_Toc3278" </w:instrText>
          </w:r>
          <w:r>
            <w:rPr>
              <w:color w:val="000000" w:themeColor="text1"/>
              <w14:textFill>
                <w14:solidFill>
                  <w14:schemeClr w14:val="tx1"/>
                </w14:solidFill>
              </w14:textFill>
            </w:rPr>
            <w:fldChar w:fldCharType="separate"/>
          </w:r>
          <w:r>
            <w:rPr>
              <w:rFonts w:eastAsia="仿宋_GB2312"/>
              <w:color w:val="000000" w:themeColor="text1"/>
              <w:sz w:val="32"/>
              <w:szCs w:val="32"/>
              <w14:textFill>
                <w14:solidFill>
                  <w14:schemeClr w14:val="tx1"/>
                </w14:solidFill>
              </w14:textFill>
            </w:rPr>
            <w:t>五、一般公共预算财政拨款支出决算情况说明</w:t>
          </w:r>
          <w:r>
            <w:rPr>
              <w:rFonts w:eastAsia="仿宋_GB2312"/>
              <w:color w:val="000000" w:themeColor="text1"/>
              <w:sz w:val="32"/>
              <w:szCs w:val="32"/>
              <w14:textFill>
                <w14:solidFill>
                  <w14:schemeClr w14:val="tx1"/>
                </w14:solidFill>
              </w14:textFill>
            </w:rPr>
            <w:tab/>
          </w:r>
          <w:r>
            <w:rPr>
              <w:rFonts w:eastAsia="仿宋_GB2312"/>
              <w:color w:val="000000" w:themeColor="text1"/>
              <w:sz w:val="32"/>
              <w:szCs w:val="32"/>
              <w14:textFill>
                <w14:solidFill>
                  <w14:schemeClr w14:val="tx1"/>
                </w14:solidFill>
              </w14:textFill>
            </w:rPr>
            <w:fldChar w:fldCharType="begin"/>
          </w:r>
          <w:r>
            <w:rPr>
              <w:rFonts w:eastAsia="仿宋_GB2312"/>
              <w:color w:val="000000" w:themeColor="text1"/>
              <w:sz w:val="32"/>
              <w:szCs w:val="32"/>
              <w14:textFill>
                <w14:solidFill>
                  <w14:schemeClr w14:val="tx1"/>
                </w14:solidFill>
              </w14:textFill>
            </w:rPr>
            <w:instrText xml:space="preserve"> PAGEREF _Toc3278 \h </w:instrText>
          </w:r>
          <w:r>
            <w:rPr>
              <w:rFonts w:eastAsia="仿宋_GB2312"/>
              <w:color w:val="000000" w:themeColor="text1"/>
              <w:sz w:val="32"/>
              <w:szCs w:val="32"/>
              <w14:textFill>
                <w14:solidFill>
                  <w14:schemeClr w14:val="tx1"/>
                </w14:solidFill>
              </w14:textFill>
            </w:rPr>
            <w:fldChar w:fldCharType="separate"/>
          </w:r>
          <w:r>
            <w:rPr>
              <w:rFonts w:eastAsia="仿宋_GB2312"/>
              <w:color w:val="000000" w:themeColor="text1"/>
              <w:sz w:val="32"/>
              <w:szCs w:val="32"/>
              <w14:textFill>
                <w14:solidFill>
                  <w14:schemeClr w14:val="tx1"/>
                </w14:solidFill>
              </w14:textFill>
            </w:rPr>
            <w:t>6</w:t>
          </w:r>
          <w:r>
            <w:rPr>
              <w:rFonts w:eastAsia="仿宋_GB2312"/>
              <w:color w:val="000000" w:themeColor="text1"/>
              <w:sz w:val="32"/>
              <w:szCs w:val="32"/>
              <w14:textFill>
                <w14:solidFill>
                  <w14:schemeClr w14:val="tx1"/>
                </w14:solidFill>
              </w14:textFill>
            </w:rPr>
            <w:fldChar w:fldCharType="end"/>
          </w:r>
          <w:r>
            <w:rPr>
              <w:rFonts w:eastAsia="仿宋_GB2312"/>
              <w:color w:val="000000" w:themeColor="text1"/>
              <w:sz w:val="32"/>
              <w:szCs w:val="32"/>
              <w14:textFill>
                <w14:solidFill>
                  <w14:schemeClr w14:val="tx1"/>
                </w14:solidFill>
              </w14:textFill>
            </w:rPr>
            <w:fldChar w:fldCharType="end"/>
          </w:r>
        </w:p>
        <w:p w14:paraId="26F6B2FC">
          <w:pPr>
            <w:pStyle w:val="15"/>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560" w:lineRule="exact"/>
            <w:textAlignment w:val="auto"/>
            <w:rPr>
              <w:rFonts w:eastAsia="仿宋_GB2312"/>
              <w:color w:val="000000" w:themeColor="text1"/>
              <w:sz w:val="32"/>
              <w:szCs w:val="32"/>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"_Toc9958" </w:instrText>
          </w:r>
          <w:r>
            <w:rPr>
              <w:color w:val="000000" w:themeColor="text1"/>
              <w14:textFill>
                <w14:solidFill>
                  <w14:schemeClr w14:val="tx1"/>
                </w14:solidFill>
              </w14:textFill>
            </w:rPr>
            <w:fldChar w:fldCharType="separate"/>
          </w:r>
          <w:r>
            <w:rPr>
              <w:rFonts w:eastAsia="仿宋_GB2312"/>
              <w:color w:val="000000" w:themeColor="text1"/>
              <w:sz w:val="32"/>
              <w:szCs w:val="32"/>
              <w14:textFill>
                <w14:solidFill>
                  <w14:schemeClr w14:val="tx1"/>
                </w14:solidFill>
              </w14:textFill>
            </w:rPr>
            <w:t>六、一般公共预算财政拨款基本支出决算情况说明</w:t>
          </w:r>
          <w:r>
            <w:rPr>
              <w:rFonts w:eastAsia="仿宋_GB2312"/>
              <w:color w:val="000000" w:themeColor="text1"/>
              <w:sz w:val="32"/>
              <w:szCs w:val="32"/>
              <w14:textFill>
                <w14:solidFill>
                  <w14:schemeClr w14:val="tx1"/>
                </w14:solidFill>
              </w14:textFill>
            </w:rPr>
            <w:tab/>
          </w:r>
          <w:r>
            <w:rPr>
              <w:rFonts w:eastAsia="仿宋_GB2312"/>
              <w:color w:val="000000" w:themeColor="text1"/>
              <w:sz w:val="32"/>
              <w:szCs w:val="32"/>
              <w14:textFill>
                <w14:solidFill>
                  <w14:schemeClr w14:val="tx1"/>
                </w14:solidFill>
              </w14:textFill>
            </w:rPr>
            <w:fldChar w:fldCharType="begin"/>
          </w:r>
          <w:r>
            <w:rPr>
              <w:rFonts w:eastAsia="仿宋_GB2312"/>
              <w:color w:val="000000" w:themeColor="text1"/>
              <w:sz w:val="32"/>
              <w:szCs w:val="32"/>
              <w14:textFill>
                <w14:solidFill>
                  <w14:schemeClr w14:val="tx1"/>
                </w14:solidFill>
              </w14:textFill>
            </w:rPr>
            <w:instrText xml:space="preserve"> PAGEREF _Toc9958 \h </w:instrText>
          </w:r>
          <w:r>
            <w:rPr>
              <w:rFonts w:eastAsia="仿宋_GB2312"/>
              <w:color w:val="000000" w:themeColor="text1"/>
              <w:sz w:val="32"/>
              <w:szCs w:val="32"/>
              <w14:textFill>
                <w14:solidFill>
                  <w14:schemeClr w14:val="tx1"/>
                </w14:solidFill>
              </w14:textFill>
            </w:rPr>
            <w:fldChar w:fldCharType="separate"/>
          </w:r>
          <w:r>
            <w:rPr>
              <w:rFonts w:eastAsia="仿宋_GB2312"/>
              <w:color w:val="000000" w:themeColor="text1"/>
              <w:sz w:val="32"/>
              <w:szCs w:val="32"/>
              <w14:textFill>
                <w14:solidFill>
                  <w14:schemeClr w14:val="tx1"/>
                </w14:solidFill>
              </w14:textFill>
            </w:rPr>
            <w:t>9</w:t>
          </w:r>
          <w:r>
            <w:rPr>
              <w:rFonts w:eastAsia="仿宋_GB2312"/>
              <w:color w:val="000000" w:themeColor="text1"/>
              <w:sz w:val="32"/>
              <w:szCs w:val="32"/>
              <w14:textFill>
                <w14:solidFill>
                  <w14:schemeClr w14:val="tx1"/>
                </w14:solidFill>
              </w14:textFill>
            </w:rPr>
            <w:fldChar w:fldCharType="end"/>
          </w:r>
          <w:r>
            <w:rPr>
              <w:rFonts w:eastAsia="仿宋_GB2312"/>
              <w:color w:val="000000" w:themeColor="text1"/>
              <w:sz w:val="32"/>
              <w:szCs w:val="32"/>
              <w14:textFill>
                <w14:solidFill>
                  <w14:schemeClr w14:val="tx1"/>
                </w14:solidFill>
              </w14:textFill>
            </w:rPr>
            <w:fldChar w:fldCharType="end"/>
          </w:r>
        </w:p>
        <w:p w14:paraId="43AACC83">
          <w:pPr>
            <w:pStyle w:val="15"/>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560" w:lineRule="exact"/>
            <w:textAlignment w:val="auto"/>
            <w:rPr>
              <w:rFonts w:eastAsia="仿宋_GB2312"/>
              <w:color w:val="000000" w:themeColor="text1"/>
              <w:sz w:val="32"/>
              <w:szCs w:val="32"/>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"_Toc22555" </w:instrText>
          </w:r>
          <w:r>
            <w:rPr>
              <w:color w:val="000000" w:themeColor="text1"/>
              <w14:textFill>
                <w14:solidFill>
                  <w14:schemeClr w14:val="tx1"/>
                </w14:solidFill>
              </w14:textFill>
            </w:rPr>
            <w:fldChar w:fldCharType="separate"/>
          </w:r>
          <w:r>
            <w:rPr>
              <w:rFonts w:eastAsia="仿宋_GB2312"/>
              <w:color w:val="000000" w:themeColor="text1"/>
              <w:sz w:val="32"/>
              <w:szCs w:val="32"/>
              <w14:textFill>
                <w14:solidFill>
                  <w14:schemeClr w14:val="tx1"/>
                </w14:solidFill>
              </w14:textFill>
            </w:rPr>
            <w:t>七、财政拨款“三公”经费支出决算情况说明</w:t>
          </w:r>
          <w:r>
            <w:rPr>
              <w:rFonts w:eastAsia="仿宋_GB2312"/>
              <w:color w:val="000000" w:themeColor="text1"/>
              <w:sz w:val="32"/>
              <w:szCs w:val="32"/>
              <w14:textFill>
                <w14:solidFill>
                  <w14:schemeClr w14:val="tx1"/>
                </w14:solidFill>
              </w14:textFill>
            </w:rPr>
            <w:tab/>
          </w:r>
          <w:r>
            <w:rPr>
              <w:rFonts w:eastAsia="仿宋_GB2312"/>
              <w:color w:val="000000" w:themeColor="text1"/>
              <w:sz w:val="32"/>
              <w:szCs w:val="32"/>
              <w14:textFill>
                <w14:solidFill>
                  <w14:schemeClr w14:val="tx1"/>
                </w14:solidFill>
              </w14:textFill>
            </w:rPr>
            <w:fldChar w:fldCharType="begin"/>
          </w:r>
          <w:r>
            <w:rPr>
              <w:rFonts w:eastAsia="仿宋_GB2312"/>
              <w:color w:val="000000" w:themeColor="text1"/>
              <w:sz w:val="32"/>
              <w:szCs w:val="32"/>
              <w14:textFill>
                <w14:solidFill>
                  <w14:schemeClr w14:val="tx1"/>
                </w14:solidFill>
              </w14:textFill>
            </w:rPr>
            <w:instrText xml:space="preserve"> PAGEREF _Toc22555 \h </w:instrText>
          </w:r>
          <w:r>
            <w:rPr>
              <w:rFonts w:eastAsia="仿宋_GB2312"/>
              <w:color w:val="000000" w:themeColor="text1"/>
              <w:sz w:val="32"/>
              <w:szCs w:val="32"/>
              <w14:textFill>
                <w14:solidFill>
                  <w14:schemeClr w14:val="tx1"/>
                </w14:solidFill>
              </w14:textFill>
            </w:rPr>
            <w:fldChar w:fldCharType="separate"/>
          </w:r>
          <w:r>
            <w:rPr>
              <w:rFonts w:eastAsia="仿宋_GB2312"/>
              <w:color w:val="000000" w:themeColor="text1"/>
              <w:sz w:val="32"/>
              <w:szCs w:val="32"/>
              <w14:textFill>
                <w14:solidFill>
                  <w14:schemeClr w14:val="tx1"/>
                </w14:solidFill>
              </w14:textFill>
            </w:rPr>
            <w:t>9</w:t>
          </w:r>
          <w:r>
            <w:rPr>
              <w:rFonts w:eastAsia="仿宋_GB2312"/>
              <w:color w:val="000000" w:themeColor="text1"/>
              <w:sz w:val="32"/>
              <w:szCs w:val="32"/>
              <w14:textFill>
                <w14:solidFill>
                  <w14:schemeClr w14:val="tx1"/>
                </w14:solidFill>
              </w14:textFill>
            </w:rPr>
            <w:fldChar w:fldCharType="end"/>
          </w:r>
          <w:r>
            <w:rPr>
              <w:rFonts w:eastAsia="仿宋_GB2312"/>
              <w:color w:val="000000" w:themeColor="text1"/>
              <w:sz w:val="32"/>
              <w:szCs w:val="32"/>
              <w14:textFill>
                <w14:solidFill>
                  <w14:schemeClr w14:val="tx1"/>
                </w14:solidFill>
              </w14:textFill>
            </w:rPr>
            <w:fldChar w:fldCharType="end"/>
          </w:r>
        </w:p>
        <w:p w14:paraId="64F94AB5">
          <w:pPr>
            <w:pStyle w:val="15"/>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560" w:lineRule="exact"/>
            <w:textAlignment w:val="auto"/>
            <w:rPr>
              <w:rFonts w:eastAsia="仿宋_GB2312"/>
              <w:color w:val="000000" w:themeColor="text1"/>
              <w:sz w:val="32"/>
              <w:szCs w:val="32"/>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"_Toc6512" </w:instrText>
          </w:r>
          <w:r>
            <w:rPr>
              <w:color w:val="000000" w:themeColor="text1"/>
              <w14:textFill>
                <w14:solidFill>
                  <w14:schemeClr w14:val="tx1"/>
                </w14:solidFill>
              </w14:textFill>
            </w:rPr>
            <w:fldChar w:fldCharType="separate"/>
          </w:r>
          <w:r>
            <w:rPr>
              <w:rFonts w:eastAsia="仿宋_GB2312"/>
              <w:color w:val="000000" w:themeColor="text1"/>
              <w:sz w:val="32"/>
              <w:szCs w:val="32"/>
              <w14:textFill>
                <w14:solidFill>
                  <w14:schemeClr w14:val="tx1"/>
                </w14:solidFill>
              </w14:textFill>
            </w:rPr>
            <w:t>八、政府性基金预算支出决算情况说明</w:t>
          </w:r>
          <w:r>
            <w:rPr>
              <w:rFonts w:eastAsia="仿宋_GB2312"/>
              <w:color w:val="000000" w:themeColor="text1"/>
              <w:sz w:val="32"/>
              <w:szCs w:val="32"/>
              <w14:textFill>
                <w14:solidFill>
                  <w14:schemeClr w14:val="tx1"/>
                </w14:solidFill>
              </w14:textFill>
            </w:rPr>
            <w:tab/>
          </w:r>
          <w:r>
            <w:rPr>
              <w:rFonts w:eastAsia="仿宋_GB2312"/>
              <w:color w:val="000000" w:themeColor="text1"/>
              <w:sz w:val="32"/>
              <w:szCs w:val="32"/>
              <w14:textFill>
                <w14:solidFill>
                  <w14:schemeClr w14:val="tx1"/>
                </w14:solidFill>
              </w14:textFill>
            </w:rPr>
            <w:fldChar w:fldCharType="begin"/>
          </w:r>
          <w:r>
            <w:rPr>
              <w:rFonts w:eastAsia="仿宋_GB2312"/>
              <w:color w:val="000000" w:themeColor="text1"/>
              <w:sz w:val="32"/>
              <w:szCs w:val="32"/>
              <w14:textFill>
                <w14:solidFill>
                  <w14:schemeClr w14:val="tx1"/>
                </w14:solidFill>
              </w14:textFill>
            </w:rPr>
            <w:instrText xml:space="preserve"> PAGEREF _Toc6512 \h </w:instrText>
          </w:r>
          <w:r>
            <w:rPr>
              <w:rFonts w:eastAsia="仿宋_GB2312"/>
              <w:color w:val="000000" w:themeColor="text1"/>
              <w:sz w:val="32"/>
              <w:szCs w:val="32"/>
              <w14:textFill>
                <w14:solidFill>
                  <w14:schemeClr w14:val="tx1"/>
                </w14:solidFill>
              </w14:textFill>
            </w:rPr>
            <w:fldChar w:fldCharType="separate"/>
          </w:r>
          <w:r>
            <w:rPr>
              <w:rFonts w:eastAsia="仿宋_GB2312"/>
              <w:color w:val="000000" w:themeColor="text1"/>
              <w:sz w:val="32"/>
              <w:szCs w:val="32"/>
              <w14:textFill>
                <w14:solidFill>
                  <w14:schemeClr w14:val="tx1"/>
                </w14:solidFill>
              </w14:textFill>
            </w:rPr>
            <w:t>12</w:t>
          </w:r>
          <w:r>
            <w:rPr>
              <w:rFonts w:eastAsia="仿宋_GB2312"/>
              <w:color w:val="000000" w:themeColor="text1"/>
              <w:sz w:val="32"/>
              <w:szCs w:val="32"/>
              <w14:textFill>
                <w14:solidFill>
                  <w14:schemeClr w14:val="tx1"/>
                </w14:solidFill>
              </w14:textFill>
            </w:rPr>
            <w:fldChar w:fldCharType="end"/>
          </w:r>
          <w:r>
            <w:rPr>
              <w:rFonts w:eastAsia="仿宋_GB2312"/>
              <w:color w:val="000000" w:themeColor="text1"/>
              <w:sz w:val="32"/>
              <w:szCs w:val="32"/>
              <w14:textFill>
                <w14:solidFill>
                  <w14:schemeClr w14:val="tx1"/>
                </w14:solidFill>
              </w14:textFill>
            </w:rPr>
            <w:fldChar w:fldCharType="end"/>
          </w:r>
        </w:p>
        <w:p w14:paraId="1ADEFC8F">
          <w:pPr>
            <w:pStyle w:val="15"/>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560" w:lineRule="exact"/>
            <w:textAlignment w:val="auto"/>
            <w:rPr>
              <w:rFonts w:eastAsia="仿宋_GB2312"/>
              <w:color w:val="000000" w:themeColor="text1"/>
              <w:sz w:val="32"/>
              <w:szCs w:val="32"/>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"_Toc7232" </w:instrText>
          </w:r>
          <w:r>
            <w:rPr>
              <w:color w:val="000000" w:themeColor="text1"/>
              <w14:textFill>
                <w14:solidFill>
                  <w14:schemeClr w14:val="tx1"/>
                </w14:solidFill>
              </w14:textFill>
            </w:rPr>
            <w:fldChar w:fldCharType="separate"/>
          </w:r>
          <w:r>
            <w:rPr>
              <w:rFonts w:eastAsia="仿宋_GB2312"/>
              <w:color w:val="000000" w:themeColor="text1"/>
              <w:sz w:val="32"/>
              <w:szCs w:val="32"/>
              <w14:textFill>
                <w14:solidFill>
                  <w14:schemeClr w14:val="tx1"/>
                </w14:solidFill>
              </w14:textFill>
            </w:rPr>
            <w:t>九、国有资本经营预算支出决算情况说明</w:t>
          </w:r>
          <w:r>
            <w:rPr>
              <w:rFonts w:eastAsia="仿宋_GB2312"/>
              <w:color w:val="000000" w:themeColor="text1"/>
              <w:sz w:val="32"/>
              <w:szCs w:val="32"/>
              <w14:textFill>
                <w14:solidFill>
                  <w14:schemeClr w14:val="tx1"/>
                </w14:solidFill>
              </w14:textFill>
            </w:rPr>
            <w:tab/>
          </w:r>
          <w:r>
            <w:rPr>
              <w:rFonts w:eastAsia="仿宋_GB2312"/>
              <w:color w:val="000000" w:themeColor="text1"/>
              <w:sz w:val="32"/>
              <w:szCs w:val="32"/>
              <w14:textFill>
                <w14:solidFill>
                  <w14:schemeClr w14:val="tx1"/>
                </w14:solidFill>
              </w14:textFill>
            </w:rPr>
            <w:fldChar w:fldCharType="begin"/>
          </w:r>
          <w:r>
            <w:rPr>
              <w:rFonts w:eastAsia="仿宋_GB2312"/>
              <w:color w:val="000000" w:themeColor="text1"/>
              <w:sz w:val="32"/>
              <w:szCs w:val="32"/>
              <w14:textFill>
                <w14:solidFill>
                  <w14:schemeClr w14:val="tx1"/>
                </w14:solidFill>
              </w14:textFill>
            </w:rPr>
            <w:instrText xml:space="preserve"> PAGEREF _Toc7232 \h </w:instrText>
          </w:r>
          <w:r>
            <w:rPr>
              <w:rFonts w:eastAsia="仿宋_GB2312"/>
              <w:color w:val="000000" w:themeColor="text1"/>
              <w:sz w:val="32"/>
              <w:szCs w:val="32"/>
              <w14:textFill>
                <w14:solidFill>
                  <w14:schemeClr w14:val="tx1"/>
                </w14:solidFill>
              </w14:textFill>
            </w:rPr>
            <w:fldChar w:fldCharType="separate"/>
          </w:r>
          <w:r>
            <w:rPr>
              <w:rFonts w:eastAsia="仿宋_GB2312"/>
              <w:color w:val="000000" w:themeColor="text1"/>
              <w:sz w:val="32"/>
              <w:szCs w:val="32"/>
              <w14:textFill>
                <w14:solidFill>
                  <w14:schemeClr w14:val="tx1"/>
                </w14:solidFill>
              </w14:textFill>
            </w:rPr>
            <w:t>12</w:t>
          </w:r>
          <w:r>
            <w:rPr>
              <w:rFonts w:eastAsia="仿宋_GB2312"/>
              <w:color w:val="000000" w:themeColor="text1"/>
              <w:sz w:val="32"/>
              <w:szCs w:val="32"/>
              <w14:textFill>
                <w14:solidFill>
                  <w14:schemeClr w14:val="tx1"/>
                </w14:solidFill>
              </w14:textFill>
            </w:rPr>
            <w:fldChar w:fldCharType="end"/>
          </w:r>
          <w:r>
            <w:rPr>
              <w:rFonts w:eastAsia="仿宋_GB2312"/>
              <w:color w:val="000000" w:themeColor="text1"/>
              <w:sz w:val="32"/>
              <w:szCs w:val="32"/>
              <w14:textFill>
                <w14:solidFill>
                  <w14:schemeClr w14:val="tx1"/>
                </w14:solidFill>
              </w14:textFill>
            </w:rPr>
            <w:fldChar w:fldCharType="end"/>
          </w:r>
        </w:p>
        <w:p w14:paraId="0F9DDF92">
          <w:pPr>
            <w:pStyle w:val="15"/>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560" w:lineRule="exact"/>
            <w:textAlignment w:val="auto"/>
            <w:rPr>
              <w:rFonts w:eastAsia="仿宋_GB2312"/>
              <w:color w:val="000000" w:themeColor="text1"/>
              <w:sz w:val="32"/>
              <w:szCs w:val="32"/>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"_Toc11860" </w:instrText>
          </w:r>
          <w:r>
            <w:rPr>
              <w:color w:val="000000" w:themeColor="text1"/>
              <w14:textFill>
                <w14:solidFill>
                  <w14:schemeClr w14:val="tx1"/>
                </w14:solidFill>
              </w14:textFill>
            </w:rPr>
            <w:fldChar w:fldCharType="separate"/>
          </w:r>
          <w:r>
            <w:rPr>
              <w:rFonts w:eastAsia="仿宋_GB2312"/>
              <w:color w:val="000000" w:themeColor="text1"/>
              <w:sz w:val="32"/>
              <w:szCs w:val="32"/>
              <w14:textFill>
                <w14:solidFill>
                  <w14:schemeClr w14:val="tx1"/>
                </w14:solidFill>
              </w14:textFill>
            </w:rPr>
            <w:t>十、其他重要事项的情况说明</w:t>
          </w:r>
          <w:r>
            <w:rPr>
              <w:rFonts w:eastAsia="仿宋_GB2312"/>
              <w:color w:val="000000" w:themeColor="text1"/>
              <w:sz w:val="32"/>
              <w:szCs w:val="32"/>
              <w14:textFill>
                <w14:solidFill>
                  <w14:schemeClr w14:val="tx1"/>
                </w14:solidFill>
              </w14:textFill>
            </w:rPr>
            <w:tab/>
          </w:r>
          <w:r>
            <w:rPr>
              <w:rFonts w:eastAsia="仿宋_GB2312"/>
              <w:color w:val="000000" w:themeColor="text1"/>
              <w:sz w:val="32"/>
              <w:szCs w:val="32"/>
              <w14:textFill>
                <w14:solidFill>
                  <w14:schemeClr w14:val="tx1"/>
                </w14:solidFill>
              </w14:textFill>
            </w:rPr>
            <w:fldChar w:fldCharType="begin"/>
          </w:r>
          <w:r>
            <w:rPr>
              <w:rFonts w:eastAsia="仿宋_GB2312"/>
              <w:color w:val="000000" w:themeColor="text1"/>
              <w:sz w:val="32"/>
              <w:szCs w:val="32"/>
              <w14:textFill>
                <w14:solidFill>
                  <w14:schemeClr w14:val="tx1"/>
                </w14:solidFill>
              </w14:textFill>
            </w:rPr>
            <w:instrText xml:space="preserve"> PAGEREF _Toc11860 \h </w:instrText>
          </w:r>
          <w:r>
            <w:rPr>
              <w:rFonts w:eastAsia="仿宋_GB2312"/>
              <w:color w:val="000000" w:themeColor="text1"/>
              <w:sz w:val="32"/>
              <w:szCs w:val="32"/>
              <w14:textFill>
                <w14:solidFill>
                  <w14:schemeClr w14:val="tx1"/>
                </w14:solidFill>
              </w14:textFill>
            </w:rPr>
            <w:fldChar w:fldCharType="separate"/>
          </w:r>
          <w:r>
            <w:rPr>
              <w:rFonts w:eastAsia="仿宋_GB2312"/>
              <w:color w:val="000000" w:themeColor="text1"/>
              <w:sz w:val="32"/>
              <w:szCs w:val="32"/>
              <w14:textFill>
                <w14:solidFill>
                  <w14:schemeClr w14:val="tx1"/>
                </w14:solidFill>
              </w14:textFill>
            </w:rPr>
            <w:t>12</w:t>
          </w:r>
          <w:r>
            <w:rPr>
              <w:rFonts w:eastAsia="仿宋_GB2312"/>
              <w:color w:val="000000" w:themeColor="text1"/>
              <w:sz w:val="32"/>
              <w:szCs w:val="32"/>
              <w14:textFill>
                <w14:solidFill>
                  <w14:schemeClr w14:val="tx1"/>
                </w14:solidFill>
              </w14:textFill>
            </w:rPr>
            <w:fldChar w:fldCharType="end"/>
          </w:r>
          <w:r>
            <w:rPr>
              <w:rFonts w:eastAsia="仿宋_GB2312"/>
              <w:color w:val="000000" w:themeColor="text1"/>
              <w:sz w:val="32"/>
              <w:szCs w:val="32"/>
              <w14:textFill>
                <w14:solidFill>
                  <w14:schemeClr w14:val="tx1"/>
                </w14:solidFill>
              </w14:textFill>
            </w:rPr>
            <w:fldChar w:fldCharType="end"/>
          </w:r>
        </w:p>
        <w:p w14:paraId="24FDC43B">
          <w:pPr>
            <w:pStyle w:val="13"/>
            <w:keepNext w:val="0"/>
            <w:keepLines w:val="0"/>
            <w:pageBreakBefore w:val="0"/>
            <w:widowControl w:val="0"/>
            <w:tabs>
              <w:tab w:val="right" w:leader="dot" w:pos="8306"/>
              <w:tab w:val="clear" w:pos="8296"/>
            </w:tabs>
            <w:kinsoku/>
            <w:wordWrap/>
            <w:overflowPunct/>
            <w:topLinePunct w:val="0"/>
            <w:autoSpaceDE/>
            <w:autoSpaceDN/>
            <w:bidi w:val="0"/>
            <w:adjustRightInd/>
            <w:snapToGrid/>
            <w:spacing w:before="0" w:line="560" w:lineRule="exact"/>
            <w:textAlignment w:val="auto"/>
            <w:rPr>
              <w:rFonts w:ascii="Times New Roman" w:hAnsi="Times New Roman" w:eastAsia="仿宋_GB2312"/>
              <w:color w:val="000000" w:themeColor="text1"/>
              <w:sz w:val="32"/>
              <w:szCs w:val="32"/>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"_Toc7104" </w:instrText>
          </w:r>
          <w:r>
            <w:rPr>
              <w:color w:val="000000" w:themeColor="text1"/>
              <w14:textFill>
                <w14:solidFill>
                  <w14:schemeClr w14:val="tx1"/>
                </w14:solidFill>
              </w14:textFill>
            </w:rPr>
            <w:fldChar w:fldCharType="separate"/>
          </w:r>
          <w:r>
            <w:rPr>
              <w:rFonts w:ascii="Times New Roman" w:hAnsi="Times New Roman" w:eastAsia="黑体"/>
              <w:color w:val="000000" w:themeColor="text1"/>
              <w:sz w:val="32"/>
              <w:szCs w:val="32"/>
              <w14:textFill>
                <w14:solidFill>
                  <w14:schemeClr w14:val="tx1"/>
                </w14:solidFill>
              </w14:textFill>
            </w:rPr>
            <w:t>第三部分  名词解释</w:t>
          </w:r>
          <w:r>
            <w:rPr>
              <w:rFonts w:ascii="Times New Roman" w:hAnsi="Times New Roman" w:eastAsia="仿宋_GB2312"/>
              <w:color w:val="000000" w:themeColor="text1"/>
              <w:sz w:val="32"/>
              <w:szCs w:val="32"/>
              <w14:textFill>
                <w14:solidFill>
                  <w14:schemeClr w14:val="tx1"/>
                </w14:solidFill>
              </w14:textFill>
            </w:rPr>
            <w:tab/>
          </w:r>
          <w:r>
            <w:rPr>
              <w:rFonts w:ascii="Times New Roman" w:hAnsi="Times New Roman" w:eastAsia="仿宋_GB2312"/>
              <w:color w:val="000000" w:themeColor="text1"/>
              <w:sz w:val="32"/>
              <w:szCs w:val="32"/>
              <w14:textFill>
                <w14:solidFill>
                  <w14:schemeClr w14:val="tx1"/>
                </w14:solidFill>
              </w14:textFill>
            </w:rPr>
            <w:fldChar w:fldCharType="begin"/>
          </w:r>
          <w:r>
            <w:rPr>
              <w:rFonts w:ascii="Times New Roman" w:hAnsi="Times New Roman" w:eastAsia="仿宋_GB2312"/>
              <w:color w:val="000000" w:themeColor="text1"/>
              <w:sz w:val="32"/>
              <w:szCs w:val="32"/>
              <w14:textFill>
                <w14:solidFill>
                  <w14:schemeClr w14:val="tx1"/>
                </w14:solidFill>
              </w14:textFill>
            </w:rPr>
            <w:instrText xml:space="preserve"> PAGEREF _Toc7104 \h </w:instrText>
          </w:r>
          <w:r>
            <w:rPr>
              <w:rFonts w:ascii="Times New Roman" w:hAnsi="Times New Roman" w:eastAsia="仿宋_GB2312"/>
              <w:color w:val="000000" w:themeColor="text1"/>
              <w:sz w:val="32"/>
              <w:szCs w:val="32"/>
              <w14:textFill>
                <w14:solidFill>
                  <w14:schemeClr w14:val="tx1"/>
                </w14:solidFill>
              </w14:textFill>
            </w:rPr>
            <w:fldChar w:fldCharType="separate"/>
          </w:r>
          <w:r>
            <w:rPr>
              <w:rFonts w:ascii="Times New Roman" w:hAnsi="Times New Roman" w:eastAsia="仿宋_GB2312"/>
              <w:color w:val="000000" w:themeColor="text1"/>
              <w:sz w:val="32"/>
              <w:szCs w:val="32"/>
              <w14:textFill>
                <w14:solidFill>
                  <w14:schemeClr w14:val="tx1"/>
                </w14:solidFill>
              </w14:textFill>
            </w:rPr>
            <w:t>16</w:t>
          </w:r>
          <w:r>
            <w:rPr>
              <w:rFonts w:ascii="Times New Roman" w:hAnsi="Times New Roman" w:eastAsia="仿宋_GB2312"/>
              <w:color w:val="000000" w:themeColor="text1"/>
              <w:sz w:val="32"/>
              <w:szCs w:val="32"/>
              <w14:textFill>
                <w14:solidFill>
                  <w14:schemeClr w14:val="tx1"/>
                </w14:solidFill>
              </w14:textFill>
            </w:rPr>
            <w:fldChar w:fldCharType="end"/>
          </w:r>
          <w:r>
            <w:rPr>
              <w:rFonts w:ascii="Times New Roman" w:hAnsi="Times New Roman" w:eastAsia="仿宋_GB2312"/>
              <w:color w:val="000000" w:themeColor="text1"/>
              <w:sz w:val="32"/>
              <w:szCs w:val="32"/>
              <w14:textFill>
                <w14:solidFill>
                  <w14:schemeClr w14:val="tx1"/>
                </w14:solidFill>
              </w14:textFill>
            </w:rPr>
            <w:fldChar w:fldCharType="end"/>
          </w:r>
        </w:p>
        <w:p w14:paraId="7EEDEDC3">
          <w:pPr>
            <w:pStyle w:val="13"/>
            <w:keepNext w:val="0"/>
            <w:keepLines w:val="0"/>
            <w:pageBreakBefore w:val="0"/>
            <w:widowControl w:val="0"/>
            <w:tabs>
              <w:tab w:val="right" w:leader="dot" w:pos="8306"/>
              <w:tab w:val="clear" w:pos="8296"/>
            </w:tabs>
            <w:kinsoku/>
            <w:wordWrap/>
            <w:overflowPunct/>
            <w:topLinePunct w:val="0"/>
            <w:autoSpaceDE/>
            <w:autoSpaceDN/>
            <w:bidi w:val="0"/>
            <w:adjustRightInd/>
            <w:snapToGrid/>
            <w:spacing w:before="0" w:line="560" w:lineRule="exact"/>
            <w:textAlignment w:val="auto"/>
            <w:rPr>
              <w:rFonts w:ascii="Times New Roman" w:hAnsi="Times New Roman" w:eastAsia="仿宋_GB2312"/>
              <w:color w:val="000000" w:themeColor="text1"/>
              <w:sz w:val="32"/>
              <w:szCs w:val="32"/>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"_Toc20215" </w:instrText>
          </w:r>
          <w:r>
            <w:rPr>
              <w:color w:val="000000" w:themeColor="text1"/>
              <w14:textFill>
                <w14:solidFill>
                  <w14:schemeClr w14:val="tx1"/>
                </w14:solidFill>
              </w14:textFill>
            </w:rPr>
            <w:fldChar w:fldCharType="separate"/>
          </w:r>
          <w:r>
            <w:rPr>
              <w:rFonts w:ascii="Times New Roman" w:hAnsi="Times New Roman" w:eastAsia="黑体"/>
              <w:color w:val="000000" w:themeColor="text1"/>
              <w:sz w:val="32"/>
              <w:szCs w:val="32"/>
              <w14:textFill>
                <w14:solidFill>
                  <w14:schemeClr w14:val="tx1"/>
                </w14:solidFill>
              </w14:textFill>
            </w:rPr>
            <w:t>第四部分  附件</w:t>
          </w:r>
          <w:r>
            <w:rPr>
              <w:rFonts w:ascii="Times New Roman" w:hAnsi="Times New Roman" w:eastAsia="仿宋_GB2312"/>
              <w:color w:val="000000" w:themeColor="text1"/>
              <w:sz w:val="32"/>
              <w:szCs w:val="32"/>
              <w14:textFill>
                <w14:solidFill>
                  <w14:schemeClr w14:val="tx1"/>
                </w14:solidFill>
              </w14:textFill>
            </w:rPr>
            <w:tab/>
          </w:r>
          <w:r>
            <w:rPr>
              <w:rFonts w:ascii="Times New Roman" w:hAnsi="Times New Roman" w:eastAsia="仿宋_GB2312"/>
              <w:color w:val="000000" w:themeColor="text1"/>
              <w:sz w:val="32"/>
              <w:szCs w:val="32"/>
              <w14:textFill>
                <w14:solidFill>
                  <w14:schemeClr w14:val="tx1"/>
                </w14:solidFill>
              </w14:textFill>
            </w:rPr>
            <w:fldChar w:fldCharType="begin"/>
          </w:r>
          <w:r>
            <w:rPr>
              <w:rFonts w:ascii="Times New Roman" w:hAnsi="Times New Roman" w:eastAsia="仿宋_GB2312"/>
              <w:color w:val="000000" w:themeColor="text1"/>
              <w:sz w:val="32"/>
              <w:szCs w:val="32"/>
              <w14:textFill>
                <w14:solidFill>
                  <w14:schemeClr w14:val="tx1"/>
                </w14:solidFill>
              </w14:textFill>
            </w:rPr>
            <w:instrText xml:space="preserve"> PAGEREF _Toc20215 \h </w:instrText>
          </w:r>
          <w:r>
            <w:rPr>
              <w:rFonts w:ascii="Times New Roman" w:hAnsi="Times New Roman" w:eastAsia="仿宋_GB2312"/>
              <w:color w:val="000000" w:themeColor="text1"/>
              <w:sz w:val="32"/>
              <w:szCs w:val="32"/>
              <w14:textFill>
                <w14:solidFill>
                  <w14:schemeClr w14:val="tx1"/>
                </w14:solidFill>
              </w14:textFill>
            </w:rPr>
            <w:fldChar w:fldCharType="separate"/>
          </w:r>
          <w:r>
            <w:rPr>
              <w:rFonts w:ascii="Times New Roman" w:hAnsi="Times New Roman" w:eastAsia="仿宋_GB2312"/>
              <w:color w:val="000000" w:themeColor="text1"/>
              <w:sz w:val="32"/>
              <w:szCs w:val="32"/>
              <w14:textFill>
                <w14:solidFill>
                  <w14:schemeClr w14:val="tx1"/>
                </w14:solidFill>
              </w14:textFill>
            </w:rPr>
            <w:t>21</w:t>
          </w:r>
          <w:r>
            <w:rPr>
              <w:rFonts w:ascii="Times New Roman" w:hAnsi="Times New Roman" w:eastAsia="仿宋_GB2312"/>
              <w:color w:val="000000" w:themeColor="text1"/>
              <w:sz w:val="32"/>
              <w:szCs w:val="32"/>
              <w14:textFill>
                <w14:solidFill>
                  <w14:schemeClr w14:val="tx1"/>
                </w14:solidFill>
              </w14:textFill>
            </w:rPr>
            <w:fldChar w:fldCharType="end"/>
          </w:r>
          <w:r>
            <w:rPr>
              <w:rFonts w:ascii="Times New Roman" w:hAnsi="Times New Roman" w:eastAsia="仿宋_GB2312"/>
              <w:color w:val="000000" w:themeColor="text1"/>
              <w:sz w:val="32"/>
              <w:szCs w:val="32"/>
              <w14:textFill>
                <w14:solidFill>
                  <w14:schemeClr w14:val="tx1"/>
                </w14:solidFill>
              </w14:textFill>
            </w:rPr>
            <w:fldChar w:fldCharType="end"/>
          </w:r>
        </w:p>
        <w:p w14:paraId="43C6E4A0">
          <w:pPr>
            <w:pStyle w:val="13"/>
            <w:keepNext w:val="0"/>
            <w:keepLines w:val="0"/>
            <w:pageBreakBefore w:val="0"/>
            <w:widowControl w:val="0"/>
            <w:tabs>
              <w:tab w:val="right" w:leader="dot" w:pos="8306"/>
              <w:tab w:val="clear" w:pos="8296"/>
            </w:tabs>
            <w:kinsoku/>
            <w:wordWrap/>
            <w:overflowPunct/>
            <w:topLinePunct w:val="0"/>
            <w:autoSpaceDE/>
            <w:autoSpaceDN/>
            <w:bidi w:val="0"/>
            <w:adjustRightInd/>
            <w:snapToGrid/>
            <w:spacing w:before="0" w:line="560" w:lineRule="exact"/>
            <w:textAlignment w:val="auto"/>
            <w:rPr>
              <w:rFonts w:ascii="Times New Roman" w:hAnsi="Times New Roman" w:eastAsia="仿宋_GB2312"/>
              <w:color w:val="000000" w:themeColor="text1"/>
              <w:sz w:val="32"/>
              <w:szCs w:val="32"/>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"_Toc20366" </w:instrText>
          </w:r>
          <w:r>
            <w:rPr>
              <w:color w:val="000000" w:themeColor="text1"/>
              <w14:textFill>
                <w14:solidFill>
                  <w14:schemeClr w14:val="tx1"/>
                </w14:solidFill>
              </w14:textFill>
            </w:rPr>
            <w:fldChar w:fldCharType="separate"/>
          </w:r>
          <w:r>
            <w:rPr>
              <w:rFonts w:ascii="Times New Roman" w:hAnsi="Times New Roman" w:eastAsia="黑体"/>
              <w:color w:val="000000" w:themeColor="text1"/>
              <w:sz w:val="32"/>
              <w:szCs w:val="32"/>
              <w14:textFill>
                <w14:solidFill>
                  <w14:schemeClr w14:val="tx1"/>
                </w14:solidFill>
              </w14:textFill>
            </w:rPr>
            <w:t>第</w:t>
          </w:r>
          <w:r>
            <w:rPr>
              <w:rFonts w:ascii="Times New Roman" w:hAnsi="Times New Roman" w:eastAsia="黑体"/>
              <w:bCs/>
              <w:color w:val="000000" w:themeColor="text1"/>
              <w:sz w:val="32"/>
              <w:szCs w:val="32"/>
              <w14:textFill>
                <w14:solidFill>
                  <w14:schemeClr w14:val="tx1"/>
                </w14:solidFill>
              </w14:textFill>
            </w:rPr>
            <w:t xml:space="preserve">五部分 </w:t>
          </w:r>
          <w:r>
            <w:rPr>
              <w:rFonts w:hint="eastAsia" w:ascii="Times New Roman" w:hAnsi="Times New Roman" w:eastAsia="黑体"/>
              <w:bCs/>
              <w:color w:val="000000" w:themeColor="text1"/>
              <w:sz w:val="32"/>
              <w:szCs w:val="32"/>
              <w14:textFill>
                <w14:solidFill>
                  <w14:schemeClr w14:val="tx1"/>
                </w14:solidFill>
              </w14:textFill>
            </w:rPr>
            <w:t xml:space="preserve"> </w:t>
          </w:r>
          <w:r>
            <w:rPr>
              <w:rFonts w:ascii="Times New Roman" w:hAnsi="Times New Roman" w:eastAsia="黑体"/>
              <w:bCs/>
              <w:color w:val="000000" w:themeColor="text1"/>
              <w:sz w:val="32"/>
              <w:szCs w:val="32"/>
              <w14:textFill>
                <w14:solidFill>
                  <w14:schemeClr w14:val="tx1"/>
                </w14:solidFill>
              </w14:textFill>
            </w:rPr>
            <w:t>附表</w:t>
          </w:r>
          <w:r>
            <w:rPr>
              <w:rFonts w:ascii="Times New Roman" w:hAnsi="Times New Roman" w:eastAsia="仿宋_GB2312"/>
              <w:color w:val="000000" w:themeColor="text1"/>
              <w:sz w:val="32"/>
              <w:szCs w:val="32"/>
              <w14:textFill>
                <w14:solidFill>
                  <w14:schemeClr w14:val="tx1"/>
                </w14:solidFill>
              </w14:textFill>
            </w:rPr>
            <w:tab/>
          </w:r>
          <w:r>
            <w:rPr>
              <w:rFonts w:ascii="Times New Roman" w:hAnsi="Times New Roman" w:eastAsia="仿宋_GB2312"/>
              <w:color w:val="000000" w:themeColor="text1"/>
              <w:sz w:val="32"/>
              <w:szCs w:val="32"/>
              <w14:textFill>
                <w14:solidFill>
                  <w14:schemeClr w14:val="tx1"/>
                </w14:solidFill>
              </w14:textFill>
            </w:rPr>
            <w:fldChar w:fldCharType="begin"/>
          </w:r>
          <w:r>
            <w:rPr>
              <w:rFonts w:ascii="Times New Roman" w:hAnsi="Times New Roman" w:eastAsia="仿宋_GB2312"/>
              <w:color w:val="000000" w:themeColor="text1"/>
              <w:sz w:val="32"/>
              <w:szCs w:val="32"/>
              <w14:textFill>
                <w14:solidFill>
                  <w14:schemeClr w14:val="tx1"/>
                </w14:solidFill>
              </w14:textFill>
            </w:rPr>
            <w:instrText xml:space="preserve"> PAGEREF _Toc20366 \h </w:instrText>
          </w:r>
          <w:r>
            <w:rPr>
              <w:rFonts w:ascii="Times New Roman" w:hAnsi="Times New Roman" w:eastAsia="仿宋_GB2312"/>
              <w:color w:val="000000" w:themeColor="text1"/>
              <w:sz w:val="32"/>
              <w:szCs w:val="32"/>
              <w14:textFill>
                <w14:solidFill>
                  <w14:schemeClr w14:val="tx1"/>
                </w14:solidFill>
              </w14:textFill>
            </w:rPr>
            <w:fldChar w:fldCharType="separate"/>
          </w:r>
          <w:r>
            <w:rPr>
              <w:rFonts w:ascii="Times New Roman" w:hAnsi="Times New Roman" w:eastAsia="仿宋_GB2312"/>
              <w:color w:val="000000" w:themeColor="text1"/>
              <w:sz w:val="32"/>
              <w:szCs w:val="32"/>
              <w14:textFill>
                <w14:solidFill>
                  <w14:schemeClr w14:val="tx1"/>
                </w14:solidFill>
              </w14:textFill>
            </w:rPr>
            <w:t>63</w:t>
          </w:r>
          <w:r>
            <w:rPr>
              <w:rFonts w:ascii="Times New Roman" w:hAnsi="Times New Roman" w:eastAsia="仿宋_GB2312"/>
              <w:color w:val="000000" w:themeColor="text1"/>
              <w:sz w:val="32"/>
              <w:szCs w:val="32"/>
              <w14:textFill>
                <w14:solidFill>
                  <w14:schemeClr w14:val="tx1"/>
                </w14:solidFill>
              </w14:textFill>
            </w:rPr>
            <w:fldChar w:fldCharType="end"/>
          </w:r>
          <w:r>
            <w:rPr>
              <w:rFonts w:ascii="Times New Roman" w:hAnsi="Times New Roman" w:eastAsia="仿宋_GB2312"/>
              <w:color w:val="000000" w:themeColor="text1"/>
              <w:sz w:val="32"/>
              <w:szCs w:val="32"/>
              <w14:textFill>
                <w14:solidFill>
                  <w14:schemeClr w14:val="tx1"/>
                </w14:solidFill>
              </w14:textFill>
            </w:rPr>
            <w:fldChar w:fldCharType="end"/>
          </w:r>
        </w:p>
        <w:p w14:paraId="269A2A8D">
          <w:pPr>
            <w:pStyle w:val="15"/>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560" w:lineRule="exact"/>
            <w:textAlignment w:val="auto"/>
            <w:rPr>
              <w:rFonts w:eastAsia="仿宋_GB2312"/>
              <w:color w:val="000000" w:themeColor="text1"/>
              <w:sz w:val="32"/>
              <w:szCs w:val="32"/>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"_Toc6400" </w:instrText>
          </w:r>
          <w:r>
            <w:rPr>
              <w:color w:val="000000" w:themeColor="text1"/>
              <w14:textFill>
                <w14:solidFill>
                  <w14:schemeClr w14:val="tx1"/>
                </w14:solidFill>
              </w14:textFill>
            </w:rPr>
            <w:fldChar w:fldCharType="separate"/>
          </w:r>
          <w:r>
            <w:rPr>
              <w:rFonts w:eastAsia="仿宋_GB2312"/>
              <w:color w:val="000000" w:themeColor="text1"/>
              <w:sz w:val="32"/>
              <w:szCs w:val="32"/>
              <w14:textFill>
                <w14:solidFill>
                  <w14:schemeClr w14:val="tx1"/>
                </w14:solidFill>
              </w14:textFill>
            </w:rPr>
            <w:t>一、收入支出决算总表</w:t>
          </w:r>
          <w:r>
            <w:rPr>
              <w:rFonts w:eastAsia="仿宋_GB2312"/>
              <w:color w:val="000000" w:themeColor="text1"/>
              <w:sz w:val="32"/>
              <w:szCs w:val="32"/>
              <w14:textFill>
                <w14:solidFill>
                  <w14:schemeClr w14:val="tx1"/>
                </w14:solidFill>
              </w14:textFill>
            </w:rPr>
            <w:tab/>
          </w:r>
          <w:r>
            <w:rPr>
              <w:rFonts w:eastAsia="仿宋_GB2312"/>
              <w:color w:val="000000" w:themeColor="text1"/>
              <w:sz w:val="32"/>
              <w:szCs w:val="32"/>
              <w14:textFill>
                <w14:solidFill>
                  <w14:schemeClr w14:val="tx1"/>
                </w14:solidFill>
              </w14:textFill>
            </w:rPr>
            <w:fldChar w:fldCharType="begin"/>
          </w:r>
          <w:r>
            <w:rPr>
              <w:rFonts w:eastAsia="仿宋_GB2312"/>
              <w:color w:val="000000" w:themeColor="text1"/>
              <w:sz w:val="32"/>
              <w:szCs w:val="32"/>
              <w14:textFill>
                <w14:solidFill>
                  <w14:schemeClr w14:val="tx1"/>
                </w14:solidFill>
              </w14:textFill>
            </w:rPr>
            <w:instrText xml:space="preserve"> PAGEREF _Toc6400 \h </w:instrText>
          </w:r>
          <w:r>
            <w:rPr>
              <w:rFonts w:eastAsia="仿宋_GB2312"/>
              <w:color w:val="000000" w:themeColor="text1"/>
              <w:sz w:val="32"/>
              <w:szCs w:val="32"/>
              <w14:textFill>
                <w14:solidFill>
                  <w14:schemeClr w14:val="tx1"/>
                </w14:solidFill>
              </w14:textFill>
            </w:rPr>
            <w:fldChar w:fldCharType="separate"/>
          </w:r>
          <w:r>
            <w:rPr>
              <w:rFonts w:eastAsia="仿宋_GB2312"/>
              <w:color w:val="000000" w:themeColor="text1"/>
              <w:sz w:val="32"/>
              <w:szCs w:val="32"/>
              <w14:textFill>
                <w14:solidFill>
                  <w14:schemeClr w14:val="tx1"/>
                </w14:solidFill>
              </w14:textFill>
            </w:rPr>
            <w:t>63</w:t>
          </w:r>
          <w:r>
            <w:rPr>
              <w:rFonts w:eastAsia="仿宋_GB2312"/>
              <w:color w:val="000000" w:themeColor="text1"/>
              <w:sz w:val="32"/>
              <w:szCs w:val="32"/>
              <w14:textFill>
                <w14:solidFill>
                  <w14:schemeClr w14:val="tx1"/>
                </w14:solidFill>
              </w14:textFill>
            </w:rPr>
            <w:fldChar w:fldCharType="end"/>
          </w:r>
          <w:r>
            <w:rPr>
              <w:rFonts w:eastAsia="仿宋_GB2312"/>
              <w:color w:val="000000" w:themeColor="text1"/>
              <w:sz w:val="32"/>
              <w:szCs w:val="32"/>
              <w14:textFill>
                <w14:solidFill>
                  <w14:schemeClr w14:val="tx1"/>
                </w14:solidFill>
              </w14:textFill>
            </w:rPr>
            <w:fldChar w:fldCharType="end"/>
          </w:r>
        </w:p>
        <w:p w14:paraId="4D95AA05">
          <w:pPr>
            <w:pStyle w:val="15"/>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560" w:lineRule="exact"/>
            <w:textAlignment w:val="auto"/>
            <w:rPr>
              <w:rFonts w:eastAsia="仿宋_GB2312"/>
              <w:color w:val="000000" w:themeColor="text1"/>
              <w:sz w:val="32"/>
              <w:szCs w:val="32"/>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"_Toc19766" </w:instrText>
          </w:r>
          <w:r>
            <w:rPr>
              <w:color w:val="000000" w:themeColor="text1"/>
              <w14:textFill>
                <w14:solidFill>
                  <w14:schemeClr w14:val="tx1"/>
                </w14:solidFill>
              </w14:textFill>
            </w:rPr>
            <w:fldChar w:fldCharType="separate"/>
          </w:r>
          <w:r>
            <w:rPr>
              <w:rFonts w:eastAsia="仿宋_GB2312"/>
              <w:color w:val="000000" w:themeColor="text1"/>
              <w:sz w:val="32"/>
              <w:szCs w:val="32"/>
              <w14:textFill>
                <w14:solidFill>
                  <w14:schemeClr w14:val="tx1"/>
                </w14:solidFill>
              </w14:textFill>
            </w:rPr>
            <w:t>二、收入决算表</w:t>
          </w:r>
          <w:r>
            <w:rPr>
              <w:rFonts w:eastAsia="仿宋_GB2312"/>
              <w:color w:val="000000" w:themeColor="text1"/>
              <w:sz w:val="32"/>
              <w:szCs w:val="32"/>
              <w14:textFill>
                <w14:solidFill>
                  <w14:schemeClr w14:val="tx1"/>
                </w14:solidFill>
              </w14:textFill>
            </w:rPr>
            <w:tab/>
          </w:r>
          <w:r>
            <w:rPr>
              <w:rFonts w:eastAsia="仿宋_GB2312"/>
              <w:color w:val="000000" w:themeColor="text1"/>
              <w:sz w:val="32"/>
              <w:szCs w:val="32"/>
              <w14:textFill>
                <w14:solidFill>
                  <w14:schemeClr w14:val="tx1"/>
                </w14:solidFill>
              </w14:textFill>
            </w:rPr>
            <w:fldChar w:fldCharType="begin"/>
          </w:r>
          <w:r>
            <w:rPr>
              <w:rFonts w:eastAsia="仿宋_GB2312"/>
              <w:color w:val="000000" w:themeColor="text1"/>
              <w:sz w:val="32"/>
              <w:szCs w:val="32"/>
              <w14:textFill>
                <w14:solidFill>
                  <w14:schemeClr w14:val="tx1"/>
                </w14:solidFill>
              </w14:textFill>
            </w:rPr>
            <w:instrText xml:space="preserve"> PAGEREF _Toc19766 \h </w:instrText>
          </w:r>
          <w:r>
            <w:rPr>
              <w:rFonts w:eastAsia="仿宋_GB2312"/>
              <w:color w:val="000000" w:themeColor="text1"/>
              <w:sz w:val="32"/>
              <w:szCs w:val="32"/>
              <w14:textFill>
                <w14:solidFill>
                  <w14:schemeClr w14:val="tx1"/>
                </w14:solidFill>
              </w14:textFill>
            </w:rPr>
            <w:fldChar w:fldCharType="separate"/>
          </w:r>
          <w:r>
            <w:rPr>
              <w:rFonts w:eastAsia="仿宋_GB2312"/>
              <w:color w:val="000000" w:themeColor="text1"/>
              <w:sz w:val="32"/>
              <w:szCs w:val="32"/>
              <w14:textFill>
                <w14:solidFill>
                  <w14:schemeClr w14:val="tx1"/>
                </w14:solidFill>
              </w14:textFill>
            </w:rPr>
            <w:t>63</w:t>
          </w:r>
          <w:r>
            <w:rPr>
              <w:rFonts w:eastAsia="仿宋_GB2312"/>
              <w:color w:val="000000" w:themeColor="text1"/>
              <w:sz w:val="32"/>
              <w:szCs w:val="32"/>
              <w14:textFill>
                <w14:solidFill>
                  <w14:schemeClr w14:val="tx1"/>
                </w14:solidFill>
              </w14:textFill>
            </w:rPr>
            <w:fldChar w:fldCharType="end"/>
          </w:r>
          <w:r>
            <w:rPr>
              <w:rFonts w:eastAsia="仿宋_GB2312"/>
              <w:color w:val="000000" w:themeColor="text1"/>
              <w:sz w:val="32"/>
              <w:szCs w:val="32"/>
              <w14:textFill>
                <w14:solidFill>
                  <w14:schemeClr w14:val="tx1"/>
                </w14:solidFill>
              </w14:textFill>
            </w:rPr>
            <w:fldChar w:fldCharType="end"/>
          </w:r>
        </w:p>
        <w:p w14:paraId="56DAFCD0">
          <w:pPr>
            <w:pStyle w:val="15"/>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560" w:lineRule="exact"/>
            <w:textAlignment w:val="auto"/>
            <w:rPr>
              <w:rFonts w:eastAsia="仿宋_GB2312"/>
              <w:color w:val="000000" w:themeColor="text1"/>
              <w:sz w:val="32"/>
              <w:szCs w:val="32"/>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"_Toc26723" </w:instrText>
          </w:r>
          <w:r>
            <w:rPr>
              <w:color w:val="000000" w:themeColor="text1"/>
              <w14:textFill>
                <w14:solidFill>
                  <w14:schemeClr w14:val="tx1"/>
                </w14:solidFill>
              </w14:textFill>
            </w:rPr>
            <w:fldChar w:fldCharType="separate"/>
          </w:r>
          <w:r>
            <w:rPr>
              <w:rFonts w:eastAsia="仿宋_GB2312"/>
              <w:color w:val="000000" w:themeColor="text1"/>
              <w:sz w:val="32"/>
              <w:szCs w:val="32"/>
              <w14:textFill>
                <w14:solidFill>
                  <w14:schemeClr w14:val="tx1"/>
                </w14:solidFill>
              </w14:textFill>
            </w:rPr>
            <w:t>三、支出决算表</w:t>
          </w:r>
          <w:r>
            <w:rPr>
              <w:rFonts w:eastAsia="仿宋_GB2312"/>
              <w:color w:val="000000" w:themeColor="text1"/>
              <w:sz w:val="32"/>
              <w:szCs w:val="32"/>
              <w14:textFill>
                <w14:solidFill>
                  <w14:schemeClr w14:val="tx1"/>
                </w14:solidFill>
              </w14:textFill>
            </w:rPr>
            <w:tab/>
          </w:r>
          <w:r>
            <w:rPr>
              <w:rFonts w:eastAsia="仿宋_GB2312"/>
              <w:color w:val="000000" w:themeColor="text1"/>
              <w:sz w:val="32"/>
              <w:szCs w:val="32"/>
              <w14:textFill>
                <w14:solidFill>
                  <w14:schemeClr w14:val="tx1"/>
                </w14:solidFill>
              </w14:textFill>
            </w:rPr>
            <w:fldChar w:fldCharType="begin"/>
          </w:r>
          <w:r>
            <w:rPr>
              <w:rFonts w:eastAsia="仿宋_GB2312"/>
              <w:color w:val="000000" w:themeColor="text1"/>
              <w:sz w:val="32"/>
              <w:szCs w:val="32"/>
              <w14:textFill>
                <w14:solidFill>
                  <w14:schemeClr w14:val="tx1"/>
                </w14:solidFill>
              </w14:textFill>
            </w:rPr>
            <w:instrText xml:space="preserve"> PAGEREF _Toc26723 \h </w:instrText>
          </w:r>
          <w:r>
            <w:rPr>
              <w:rFonts w:eastAsia="仿宋_GB2312"/>
              <w:color w:val="000000" w:themeColor="text1"/>
              <w:sz w:val="32"/>
              <w:szCs w:val="32"/>
              <w14:textFill>
                <w14:solidFill>
                  <w14:schemeClr w14:val="tx1"/>
                </w14:solidFill>
              </w14:textFill>
            </w:rPr>
            <w:fldChar w:fldCharType="separate"/>
          </w:r>
          <w:r>
            <w:rPr>
              <w:rFonts w:eastAsia="仿宋_GB2312"/>
              <w:color w:val="000000" w:themeColor="text1"/>
              <w:sz w:val="32"/>
              <w:szCs w:val="32"/>
              <w14:textFill>
                <w14:solidFill>
                  <w14:schemeClr w14:val="tx1"/>
                </w14:solidFill>
              </w14:textFill>
            </w:rPr>
            <w:t>63</w:t>
          </w:r>
          <w:r>
            <w:rPr>
              <w:rFonts w:eastAsia="仿宋_GB2312"/>
              <w:color w:val="000000" w:themeColor="text1"/>
              <w:sz w:val="32"/>
              <w:szCs w:val="32"/>
              <w14:textFill>
                <w14:solidFill>
                  <w14:schemeClr w14:val="tx1"/>
                </w14:solidFill>
              </w14:textFill>
            </w:rPr>
            <w:fldChar w:fldCharType="end"/>
          </w:r>
          <w:r>
            <w:rPr>
              <w:rFonts w:eastAsia="仿宋_GB2312"/>
              <w:color w:val="000000" w:themeColor="text1"/>
              <w:sz w:val="32"/>
              <w:szCs w:val="32"/>
              <w14:textFill>
                <w14:solidFill>
                  <w14:schemeClr w14:val="tx1"/>
                </w14:solidFill>
              </w14:textFill>
            </w:rPr>
            <w:fldChar w:fldCharType="end"/>
          </w:r>
        </w:p>
        <w:p w14:paraId="351BB1F3">
          <w:pPr>
            <w:pStyle w:val="15"/>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560" w:lineRule="exact"/>
            <w:textAlignment w:val="auto"/>
            <w:rPr>
              <w:rFonts w:eastAsia="仿宋_GB2312"/>
              <w:color w:val="000000" w:themeColor="text1"/>
              <w:sz w:val="32"/>
              <w:szCs w:val="32"/>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"_Toc29476" </w:instrText>
          </w:r>
          <w:r>
            <w:rPr>
              <w:color w:val="000000" w:themeColor="text1"/>
              <w14:textFill>
                <w14:solidFill>
                  <w14:schemeClr w14:val="tx1"/>
                </w14:solidFill>
              </w14:textFill>
            </w:rPr>
            <w:fldChar w:fldCharType="separate"/>
          </w:r>
          <w:r>
            <w:rPr>
              <w:rFonts w:eastAsia="仿宋_GB2312"/>
              <w:color w:val="000000" w:themeColor="text1"/>
              <w:sz w:val="32"/>
              <w:szCs w:val="32"/>
              <w14:textFill>
                <w14:solidFill>
                  <w14:schemeClr w14:val="tx1"/>
                </w14:solidFill>
              </w14:textFill>
            </w:rPr>
            <w:t>四、财政拨款收入支出决算总表</w:t>
          </w:r>
          <w:r>
            <w:rPr>
              <w:rFonts w:eastAsia="仿宋_GB2312"/>
              <w:color w:val="000000" w:themeColor="text1"/>
              <w:sz w:val="32"/>
              <w:szCs w:val="32"/>
              <w14:textFill>
                <w14:solidFill>
                  <w14:schemeClr w14:val="tx1"/>
                </w14:solidFill>
              </w14:textFill>
            </w:rPr>
            <w:tab/>
          </w:r>
          <w:r>
            <w:rPr>
              <w:rFonts w:eastAsia="仿宋_GB2312"/>
              <w:color w:val="000000" w:themeColor="text1"/>
              <w:sz w:val="32"/>
              <w:szCs w:val="32"/>
              <w14:textFill>
                <w14:solidFill>
                  <w14:schemeClr w14:val="tx1"/>
                </w14:solidFill>
              </w14:textFill>
            </w:rPr>
            <w:fldChar w:fldCharType="begin"/>
          </w:r>
          <w:r>
            <w:rPr>
              <w:rFonts w:eastAsia="仿宋_GB2312"/>
              <w:color w:val="000000" w:themeColor="text1"/>
              <w:sz w:val="32"/>
              <w:szCs w:val="32"/>
              <w14:textFill>
                <w14:solidFill>
                  <w14:schemeClr w14:val="tx1"/>
                </w14:solidFill>
              </w14:textFill>
            </w:rPr>
            <w:instrText xml:space="preserve"> PAGEREF _Toc29476 \h </w:instrText>
          </w:r>
          <w:r>
            <w:rPr>
              <w:rFonts w:eastAsia="仿宋_GB2312"/>
              <w:color w:val="000000" w:themeColor="text1"/>
              <w:sz w:val="32"/>
              <w:szCs w:val="32"/>
              <w14:textFill>
                <w14:solidFill>
                  <w14:schemeClr w14:val="tx1"/>
                </w14:solidFill>
              </w14:textFill>
            </w:rPr>
            <w:fldChar w:fldCharType="separate"/>
          </w:r>
          <w:r>
            <w:rPr>
              <w:rFonts w:eastAsia="仿宋_GB2312"/>
              <w:color w:val="000000" w:themeColor="text1"/>
              <w:sz w:val="32"/>
              <w:szCs w:val="32"/>
              <w14:textFill>
                <w14:solidFill>
                  <w14:schemeClr w14:val="tx1"/>
                </w14:solidFill>
              </w14:textFill>
            </w:rPr>
            <w:t>63</w:t>
          </w:r>
          <w:r>
            <w:rPr>
              <w:rFonts w:eastAsia="仿宋_GB2312"/>
              <w:color w:val="000000" w:themeColor="text1"/>
              <w:sz w:val="32"/>
              <w:szCs w:val="32"/>
              <w14:textFill>
                <w14:solidFill>
                  <w14:schemeClr w14:val="tx1"/>
                </w14:solidFill>
              </w14:textFill>
            </w:rPr>
            <w:fldChar w:fldCharType="end"/>
          </w:r>
          <w:r>
            <w:rPr>
              <w:rFonts w:eastAsia="仿宋_GB2312"/>
              <w:color w:val="000000" w:themeColor="text1"/>
              <w:sz w:val="32"/>
              <w:szCs w:val="32"/>
              <w14:textFill>
                <w14:solidFill>
                  <w14:schemeClr w14:val="tx1"/>
                </w14:solidFill>
              </w14:textFill>
            </w:rPr>
            <w:fldChar w:fldCharType="end"/>
          </w:r>
        </w:p>
        <w:p w14:paraId="703E3FB4">
          <w:pPr>
            <w:pStyle w:val="15"/>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560" w:lineRule="exact"/>
            <w:textAlignment w:val="auto"/>
            <w:rPr>
              <w:rFonts w:eastAsia="仿宋_GB2312"/>
              <w:color w:val="000000" w:themeColor="text1"/>
              <w:sz w:val="32"/>
              <w:szCs w:val="32"/>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"_Toc29431" </w:instrText>
          </w:r>
          <w:r>
            <w:rPr>
              <w:color w:val="000000" w:themeColor="text1"/>
              <w14:textFill>
                <w14:solidFill>
                  <w14:schemeClr w14:val="tx1"/>
                </w14:solidFill>
              </w14:textFill>
            </w:rPr>
            <w:fldChar w:fldCharType="separate"/>
          </w:r>
          <w:r>
            <w:rPr>
              <w:rFonts w:eastAsia="仿宋_GB2312"/>
              <w:color w:val="000000" w:themeColor="text1"/>
              <w:sz w:val="32"/>
              <w:szCs w:val="32"/>
              <w14:textFill>
                <w14:solidFill>
                  <w14:schemeClr w14:val="tx1"/>
                </w14:solidFill>
              </w14:textFill>
            </w:rPr>
            <w:t>五、财政拨款支出决算明细表</w:t>
          </w:r>
          <w:r>
            <w:rPr>
              <w:rFonts w:eastAsia="仿宋_GB2312"/>
              <w:color w:val="000000" w:themeColor="text1"/>
              <w:sz w:val="32"/>
              <w:szCs w:val="32"/>
              <w14:textFill>
                <w14:solidFill>
                  <w14:schemeClr w14:val="tx1"/>
                </w14:solidFill>
              </w14:textFill>
            </w:rPr>
            <w:tab/>
          </w:r>
          <w:r>
            <w:rPr>
              <w:rFonts w:eastAsia="仿宋_GB2312"/>
              <w:color w:val="000000" w:themeColor="text1"/>
              <w:sz w:val="32"/>
              <w:szCs w:val="32"/>
              <w14:textFill>
                <w14:solidFill>
                  <w14:schemeClr w14:val="tx1"/>
                </w14:solidFill>
              </w14:textFill>
            </w:rPr>
            <w:fldChar w:fldCharType="begin"/>
          </w:r>
          <w:r>
            <w:rPr>
              <w:rFonts w:eastAsia="仿宋_GB2312"/>
              <w:color w:val="000000" w:themeColor="text1"/>
              <w:sz w:val="32"/>
              <w:szCs w:val="32"/>
              <w14:textFill>
                <w14:solidFill>
                  <w14:schemeClr w14:val="tx1"/>
                </w14:solidFill>
              </w14:textFill>
            </w:rPr>
            <w:instrText xml:space="preserve"> PAGEREF _Toc29431 \h </w:instrText>
          </w:r>
          <w:r>
            <w:rPr>
              <w:rFonts w:eastAsia="仿宋_GB2312"/>
              <w:color w:val="000000" w:themeColor="text1"/>
              <w:sz w:val="32"/>
              <w:szCs w:val="32"/>
              <w14:textFill>
                <w14:solidFill>
                  <w14:schemeClr w14:val="tx1"/>
                </w14:solidFill>
              </w14:textFill>
            </w:rPr>
            <w:fldChar w:fldCharType="separate"/>
          </w:r>
          <w:r>
            <w:rPr>
              <w:rFonts w:eastAsia="仿宋_GB2312"/>
              <w:color w:val="000000" w:themeColor="text1"/>
              <w:sz w:val="32"/>
              <w:szCs w:val="32"/>
              <w14:textFill>
                <w14:solidFill>
                  <w14:schemeClr w14:val="tx1"/>
                </w14:solidFill>
              </w14:textFill>
            </w:rPr>
            <w:t>63</w:t>
          </w:r>
          <w:r>
            <w:rPr>
              <w:rFonts w:eastAsia="仿宋_GB2312"/>
              <w:color w:val="000000" w:themeColor="text1"/>
              <w:sz w:val="32"/>
              <w:szCs w:val="32"/>
              <w14:textFill>
                <w14:solidFill>
                  <w14:schemeClr w14:val="tx1"/>
                </w14:solidFill>
              </w14:textFill>
            </w:rPr>
            <w:fldChar w:fldCharType="end"/>
          </w:r>
          <w:r>
            <w:rPr>
              <w:rFonts w:eastAsia="仿宋_GB2312"/>
              <w:color w:val="000000" w:themeColor="text1"/>
              <w:sz w:val="32"/>
              <w:szCs w:val="32"/>
              <w14:textFill>
                <w14:solidFill>
                  <w14:schemeClr w14:val="tx1"/>
                </w14:solidFill>
              </w14:textFill>
            </w:rPr>
            <w:fldChar w:fldCharType="end"/>
          </w:r>
        </w:p>
        <w:p w14:paraId="4A10ADE8">
          <w:pPr>
            <w:pStyle w:val="15"/>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560" w:lineRule="exact"/>
            <w:textAlignment w:val="auto"/>
            <w:rPr>
              <w:rFonts w:eastAsia="仿宋_GB2312"/>
              <w:color w:val="000000" w:themeColor="text1"/>
              <w:sz w:val="32"/>
              <w:szCs w:val="32"/>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"_Toc13418" </w:instrText>
          </w:r>
          <w:r>
            <w:rPr>
              <w:color w:val="000000" w:themeColor="text1"/>
              <w14:textFill>
                <w14:solidFill>
                  <w14:schemeClr w14:val="tx1"/>
                </w14:solidFill>
              </w14:textFill>
            </w:rPr>
            <w:fldChar w:fldCharType="separate"/>
          </w:r>
          <w:r>
            <w:rPr>
              <w:rFonts w:eastAsia="仿宋_GB2312"/>
              <w:color w:val="000000" w:themeColor="text1"/>
              <w:sz w:val="32"/>
              <w:szCs w:val="32"/>
              <w14:textFill>
                <w14:solidFill>
                  <w14:schemeClr w14:val="tx1"/>
                </w14:solidFill>
              </w14:textFill>
            </w:rPr>
            <w:t>六、一般公共预算财政拨款支出决算表</w:t>
          </w:r>
          <w:r>
            <w:rPr>
              <w:rFonts w:eastAsia="仿宋_GB2312"/>
              <w:color w:val="000000" w:themeColor="text1"/>
              <w:sz w:val="32"/>
              <w:szCs w:val="32"/>
              <w14:textFill>
                <w14:solidFill>
                  <w14:schemeClr w14:val="tx1"/>
                </w14:solidFill>
              </w14:textFill>
            </w:rPr>
            <w:tab/>
          </w:r>
          <w:r>
            <w:rPr>
              <w:rFonts w:eastAsia="仿宋_GB2312"/>
              <w:color w:val="000000" w:themeColor="text1"/>
              <w:sz w:val="32"/>
              <w:szCs w:val="32"/>
              <w14:textFill>
                <w14:solidFill>
                  <w14:schemeClr w14:val="tx1"/>
                </w14:solidFill>
              </w14:textFill>
            </w:rPr>
            <w:fldChar w:fldCharType="begin"/>
          </w:r>
          <w:r>
            <w:rPr>
              <w:rFonts w:eastAsia="仿宋_GB2312"/>
              <w:color w:val="000000" w:themeColor="text1"/>
              <w:sz w:val="32"/>
              <w:szCs w:val="32"/>
              <w14:textFill>
                <w14:solidFill>
                  <w14:schemeClr w14:val="tx1"/>
                </w14:solidFill>
              </w14:textFill>
            </w:rPr>
            <w:instrText xml:space="preserve"> PAGEREF _Toc13418 \h </w:instrText>
          </w:r>
          <w:r>
            <w:rPr>
              <w:rFonts w:eastAsia="仿宋_GB2312"/>
              <w:color w:val="000000" w:themeColor="text1"/>
              <w:sz w:val="32"/>
              <w:szCs w:val="32"/>
              <w14:textFill>
                <w14:solidFill>
                  <w14:schemeClr w14:val="tx1"/>
                </w14:solidFill>
              </w14:textFill>
            </w:rPr>
            <w:fldChar w:fldCharType="separate"/>
          </w:r>
          <w:r>
            <w:rPr>
              <w:rFonts w:eastAsia="仿宋_GB2312"/>
              <w:color w:val="000000" w:themeColor="text1"/>
              <w:sz w:val="32"/>
              <w:szCs w:val="32"/>
              <w14:textFill>
                <w14:solidFill>
                  <w14:schemeClr w14:val="tx1"/>
                </w14:solidFill>
              </w14:textFill>
            </w:rPr>
            <w:t>63</w:t>
          </w:r>
          <w:r>
            <w:rPr>
              <w:rFonts w:eastAsia="仿宋_GB2312"/>
              <w:color w:val="000000" w:themeColor="text1"/>
              <w:sz w:val="32"/>
              <w:szCs w:val="32"/>
              <w14:textFill>
                <w14:solidFill>
                  <w14:schemeClr w14:val="tx1"/>
                </w14:solidFill>
              </w14:textFill>
            </w:rPr>
            <w:fldChar w:fldCharType="end"/>
          </w:r>
          <w:r>
            <w:rPr>
              <w:rFonts w:eastAsia="仿宋_GB2312"/>
              <w:color w:val="000000" w:themeColor="text1"/>
              <w:sz w:val="32"/>
              <w:szCs w:val="32"/>
              <w14:textFill>
                <w14:solidFill>
                  <w14:schemeClr w14:val="tx1"/>
                </w14:solidFill>
              </w14:textFill>
            </w:rPr>
            <w:fldChar w:fldCharType="end"/>
          </w:r>
        </w:p>
        <w:p w14:paraId="1279F61D">
          <w:pPr>
            <w:pStyle w:val="15"/>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560" w:lineRule="exact"/>
            <w:textAlignment w:val="auto"/>
            <w:rPr>
              <w:rFonts w:eastAsia="仿宋_GB2312"/>
              <w:color w:val="000000" w:themeColor="text1"/>
              <w:sz w:val="32"/>
              <w:szCs w:val="32"/>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"_Toc2493" </w:instrText>
          </w:r>
          <w:r>
            <w:rPr>
              <w:color w:val="000000" w:themeColor="text1"/>
              <w14:textFill>
                <w14:solidFill>
                  <w14:schemeClr w14:val="tx1"/>
                </w14:solidFill>
              </w14:textFill>
            </w:rPr>
            <w:fldChar w:fldCharType="separate"/>
          </w:r>
          <w:r>
            <w:rPr>
              <w:rFonts w:eastAsia="仿宋_GB2312"/>
              <w:color w:val="000000" w:themeColor="text1"/>
              <w:sz w:val="32"/>
              <w:szCs w:val="32"/>
              <w14:textFill>
                <w14:solidFill>
                  <w14:schemeClr w14:val="tx1"/>
                </w14:solidFill>
              </w14:textFill>
            </w:rPr>
            <w:t>七、一般公共预算财政拨款支出决算明细表</w:t>
          </w:r>
          <w:r>
            <w:rPr>
              <w:rFonts w:eastAsia="仿宋_GB2312"/>
              <w:color w:val="000000" w:themeColor="text1"/>
              <w:sz w:val="32"/>
              <w:szCs w:val="32"/>
              <w14:textFill>
                <w14:solidFill>
                  <w14:schemeClr w14:val="tx1"/>
                </w14:solidFill>
              </w14:textFill>
            </w:rPr>
            <w:tab/>
          </w:r>
          <w:r>
            <w:rPr>
              <w:rFonts w:eastAsia="仿宋_GB2312"/>
              <w:color w:val="000000" w:themeColor="text1"/>
              <w:sz w:val="32"/>
              <w:szCs w:val="32"/>
              <w14:textFill>
                <w14:solidFill>
                  <w14:schemeClr w14:val="tx1"/>
                </w14:solidFill>
              </w14:textFill>
            </w:rPr>
            <w:fldChar w:fldCharType="begin"/>
          </w:r>
          <w:r>
            <w:rPr>
              <w:rFonts w:eastAsia="仿宋_GB2312"/>
              <w:color w:val="000000" w:themeColor="text1"/>
              <w:sz w:val="32"/>
              <w:szCs w:val="32"/>
              <w14:textFill>
                <w14:solidFill>
                  <w14:schemeClr w14:val="tx1"/>
                </w14:solidFill>
              </w14:textFill>
            </w:rPr>
            <w:instrText xml:space="preserve"> PAGEREF _Toc2493 \h </w:instrText>
          </w:r>
          <w:r>
            <w:rPr>
              <w:rFonts w:eastAsia="仿宋_GB2312"/>
              <w:color w:val="000000" w:themeColor="text1"/>
              <w:sz w:val="32"/>
              <w:szCs w:val="32"/>
              <w14:textFill>
                <w14:solidFill>
                  <w14:schemeClr w14:val="tx1"/>
                </w14:solidFill>
              </w14:textFill>
            </w:rPr>
            <w:fldChar w:fldCharType="separate"/>
          </w:r>
          <w:r>
            <w:rPr>
              <w:rFonts w:eastAsia="仿宋_GB2312"/>
              <w:color w:val="000000" w:themeColor="text1"/>
              <w:sz w:val="32"/>
              <w:szCs w:val="32"/>
              <w14:textFill>
                <w14:solidFill>
                  <w14:schemeClr w14:val="tx1"/>
                </w14:solidFill>
              </w14:textFill>
            </w:rPr>
            <w:t>63</w:t>
          </w:r>
          <w:r>
            <w:rPr>
              <w:rFonts w:eastAsia="仿宋_GB2312"/>
              <w:color w:val="000000" w:themeColor="text1"/>
              <w:sz w:val="32"/>
              <w:szCs w:val="32"/>
              <w14:textFill>
                <w14:solidFill>
                  <w14:schemeClr w14:val="tx1"/>
                </w14:solidFill>
              </w14:textFill>
            </w:rPr>
            <w:fldChar w:fldCharType="end"/>
          </w:r>
          <w:r>
            <w:rPr>
              <w:rFonts w:eastAsia="仿宋_GB2312"/>
              <w:color w:val="000000" w:themeColor="text1"/>
              <w:sz w:val="32"/>
              <w:szCs w:val="32"/>
              <w14:textFill>
                <w14:solidFill>
                  <w14:schemeClr w14:val="tx1"/>
                </w14:solidFill>
              </w14:textFill>
            </w:rPr>
            <w:fldChar w:fldCharType="end"/>
          </w:r>
        </w:p>
        <w:p w14:paraId="3ED924FE">
          <w:pPr>
            <w:pStyle w:val="15"/>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560" w:lineRule="exact"/>
            <w:textAlignment w:val="auto"/>
            <w:rPr>
              <w:rFonts w:eastAsia="仿宋_GB2312"/>
              <w:color w:val="000000" w:themeColor="text1"/>
              <w:sz w:val="32"/>
              <w:szCs w:val="32"/>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"_Toc26483" </w:instrText>
          </w:r>
          <w:r>
            <w:rPr>
              <w:color w:val="000000" w:themeColor="text1"/>
              <w14:textFill>
                <w14:solidFill>
                  <w14:schemeClr w14:val="tx1"/>
                </w14:solidFill>
              </w14:textFill>
            </w:rPr>
            <w:fldChar w:fldCharType="separate"/>
          </w:r>
          <w:r>
            <w:rPr>
              <w:rFonts w:eastAsia="仿宋_GB2312"/>
              <w:color w:val="000000" w:themeColor="text1"/>
              <w:sz w:val="32"/>
              <w:szCs w:val="32"/>
              <w14:textFill>
                <w14:solidFill>
                  <w14:schemeClr w14:val="tx1"/>
                </w14:solidFill>
              </w14:textFill>
            </w:rPr>
            <w:t>八、一般公共预算财政拨款基本支出决算</w:t>
          </w:r>
          <w:r>
            <w:rPr>
              <w:rFonts w:hint="eastAsia" w:eastAsia="仿宋_GB2312"/>
              <w:color w:val="000000" w:themeColor="text1"/>
              <w:sz w:val="32"/>
              <w:szCs w:val="32"/>
              <w14:textFill>
                <w14:solidFill>
                  <w14:schemeClr w14:val="tx1"/>
                </w14:solidFill>
              </w14:textFill>
            </w:rPr>
            <w:t>明细</w:t>
          </w:r>
          <w:r>
            <w:rPr>
              <w:rFonts w:eastAsia="仿宋_GB2312"/>
              <w:color w:val="000000" w:themeColor="text1"/>
              <w:sz w:val="32"/>
              <w:szCs w:val="32"/>
              <w14:textFill>
                <w14:solidFill>
                  <w14:schemeClr w14:val="tx1"/>
                </w14:solidFill>
              </w14:textFill>
            </w:rPr>
            <w:t>表</w:t>
          </w:r>
          <w:r>
            <w:rPr>
              <w:rFonts w:eastAsia="仿宋_GB2312"/>
              <w:color w:val="000000" w:themeColor="text1"/>
              <w:sz w:val="32"/>
              <w:szCs w:val="32"/>
              <w14:textFill>
                <w14:solidFill>
                  <w14:schemeClr w14:val="tx1"/>
                </w14:solidFill>
              </w14:textFill>
            </w:rPr>
            <w:tab/>
          </w:r>
          <w:r>
            <w:rPr>
              <w:rFonts w:eastAsia="仿宋_GB2312"/>
              <w:color w:val="000000" w:themeColor="text1"/>
              <w:sz w:val="32"/>
              <w:szCs w:val="32"/>
              <w14:textFill>
                <w14:solidFill>
                  <w14:schemeClr w14:val="tx1"/>
                </w14:solidFill>
              </w14:textFill>
            </w:rPr>
            <w:fldChar w:fldCharType="begin"/>
          </w:r>
          <w:r>
            <w:rPr>
              <w:rFonts w:eastAsia="仿宋_GB2312"/>
              <w:color w:val="000000" w:themeColor="text1"/>
              <w:sz w:val="32"/>
              <w:szCs w:val="32"/>
              <w14:textFill>
                <w14:solidFill>
                  <w14:schemeClr w14:val="tx1"/>
                </w14:solidFill>
              </w14:textFill>
            </w:rPr>
            <w:instrText xml:space="preserve"> PAGEREF _Toc26483 \h </w:instrText>
          </w:r>
          <w:r>
            <w:rPr>
              <w:rFonts w:eastAsia="仿宋_GB2312"/>
              <w:color w:val="000000" w:themeColor="text1"/>
              <w:sz w:val="32"/>
              <w:szCs w:val="32"/>
              <w14:textFill>
                <w14:solidFill>
                  <w14:schemeClr w14:val="tx1"/>
                </w14:solidFill>
              </w14:textFill>
            </w:rPr>
            <w:fldChar w:fldCharType="separate"/>
          </w:r>
          <w:r>
            <w:rPr>
              <w:rFonts w:eastAsia="仿宋_GB2312"/>
              <w:color w:val="000000" w:themeColor="text1"/>
              <w:sz w:val="32"/>
              <w:szCs w:val="32"/>
              <w14:textFill>
                <w14:solidFill>
                  <w14:schemeClr w14:val="tx1"/>
                </w14:solidFill>
              </w14:textFill>
            </w:rPr>
            <w:t>63</w:t>
          </w:r>
          <w:r>
            <w:rPr>
              <w:rFonts w:eastAsia="仿宋_GB2312"/>
              <w:color w:val="000000" w:themeColor="text1"/>
              <w:sz w:val="32"/>
              <w:szCs w:val="32"/>
              <w14:textFill>
                <w14:solidFill>
                  <w14:schemeClr w14:val="tx1"/>
                </w14:solidFill>
              </w14:textFill>
            </w:rPr>
            <w:fldChar w:fldCharType="end"/>
          </w:r>
          <w:r>
            <w:rPr>
              <w:rFonts w:eastAsia="仿宋_GB2312"/>
              <w:color w:val="000000" w:themeColor="text1"/>
              <w:sz w:val="32"/>
              <w:szCs w:val="32"/>
              <w14:textFill>
                <w14:solidFill>
                  <w14:schemeClr w14:val="tx1"/>
                </w14:solidFill>
              </w14:textFill>
            </w:rPr>
            <w:fldChar w:fldCharType="end"/>
          </w:r>
        </w:p>
        <w:p w14:paraId="308FC8E2">
          <w:pPr>
            <w:pStyle w:val="15"/>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560" w:lineRule="exact"/>
            <w:textAlignment w:val="auto"/>
            <w:rPr>
              <w:rFonts w:eastAsia="仿宋_GB2312"/>
              <w:color w:val="000000" w:themeColor="text1"/>
              <w:sz w:val="32"/>
              <w:szCs w:val="32"/>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"_Toc30001" </w:instrText>
          </w:r>
          <w:r>
            <w:rPr>
              <w:color w:val="000000" w:themeColor="text1"/>
              <w14:textFill>
                <w14:solidFill>
                  <w14:schemeClr w14:val="tx1"/>
                </w14:solidFill>
              </w14:textFill>
            </w:rPr>
            <w:fldChar w:fldCharType="separate"/>
          </w:r>
          <w:r>
            <w:rPr>
              <w:rFonts w:eastAsia="仿宋_GB2312"/>
              <w:color w:val="000000" w:themeColor="text1"/>
              <w:sz w:val="32"/>
              <w:szCs w:val="32"/>
              <w14:textFill>
                <w14:solidFill>
                  <w14:schemeClr w14:val="tx1"/>
                </w14:solidFill>
              </w14:textFill>
            </w:rPr>
            <w:t>九、一般公共预算财政拨款项目支出决算表</w:t>
          </w:r>
          <w:r>
            <w:rPr>
              <w:rFonts w:eastAsia="仿宋_GB2312"/>
              <w:color w:val="000000" w:themeColor="text1"/>
              <w:sz w:val="32"/>
              <w:szCs w:val="32"/>
              <w14:textFill>
                <w14:solidFill>
                  <w14:schemeClr w14:val="tx1"/>
                </w14:solidFill>
              </w14:textFill>
            </w:rPr>
            <w:tab/>
          </w:r>
          <w:r>
            <w:rPr>
              <w:rFonts w:eastAsia="仿宋_GB2312"/>
              <w:color w:val="000000" w:themeColor="text1"/>
              <w:sz w:val="32"/>
              <w:szCs w:val="32"/>
              <w14:textFill>
                <w14:solidFill>
                  <w14:schemeClr w14:val="tx1"/>
                </w14:solidFill>
              </w14:textFill>
            </w:rPr>
            <w:fldChar w:fldCharType="begin"/>
          </w:r>
          <w:r>
            <w:rPr>
              <w:rFonts w:eastAsia="仿宋_GB2312"/>
              <w:color w:val="000000" w:themeColor="text1"/>
              <w:sz w:val="32"/>
              <w:szCs w:val="32"/>
              <w14:textFill>
                <w14:solidFill>
                  <w14:schemeClr w14:val="tx1"/>
                </w14:solidFill>
              </w14:textFill>
            </w:rPr>
            <w:instrText xml:space="preserve"> PAGEREF _Toc30001 \h </w:instrText>
          </w:r>
          <w:r>
            <w:rPr>
              <w:rFonts w:eastAsia="仿宋_GB2312"/>
              <w:color w:val="000000" w:themeColor="text1"/>
              <w:sz w:val="32"/>
              <w:szCs w:val="32"/>
              <w14:textFill>
                <w14:solidFill>
                  <w14:schemeClr w14:val="tx1"/>
                </w14:solidFill>
              </w14:textFill>
            </w:rPr>
            <w:fldChar w:fldCharType="separate"/>
          </w:r>
          <w:r>
            <w:rPr>
              <w:rFonts w:eastAsia="仿宋_GB2312"/>
              <w:color w:val="000000" w:themeColor="text1"/>
              <w:sz w:val="32"/>
              <w:szCs w:val="32"/>
              <w14:textFill>
                <w14:solidFill>
                  <w14:schemeClr w14:val="tx1"/>
                </w14:solidFill>
              </w14:textFill>
            </w:rPr>
            <w:t>63</w:t>
          </w:r>
          <w:r>
            <w:rPr>
              <w:rFonts w:eastAsia="仿宋_GB2312"/>
              <w:color w:val="000000" w:themeColor="text1"/>
              <w:sz w:val="32"/>
              <w:szCs w:val="32"/>
              <w14:textFill>
                <w14:solidFill>
                  <w14:schemeClr w14:val="tx1"/>
                </w14:solidFill>
              </w14:textFill>
            </w:rPr>
            <w:fldChar w:fldCharType="end"/>
          </w:r>
          <w:r>
            <w:rPr>
              <w:rFonts w:eastAsia="仿宋_GB2312"/>
              <w:color w:val="000000" w:themeColor="text1"/>
              <w:sz w:val="32"/>
              <w:szCs w:val="32"/>
              <w14:textFill>
                <w14:solidFill>
                  <w14:schemeClr w14:val="tx1"/>
                </w14:solidFill>
              </w14:textFill>
            </w:rPr>
            <w:fldChar w:fldCharType="end"/>
          </w:r>
        </w:p>
        <w:p w14:paraId="5B3C4FF4">
          <w:pPr>
            <w:pStyle w:val="15"/>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560" w:lineRule="exact"/>
            <w:textAlignment w:val="auto"/>
            <w:rPr>
              <w:rFonts w:eastAsia="仿宋_GB2312"/>
              <w:color w:val="000000" w:themeColor="text1"/>
              <w:sz w:val="32"/>
              <w:szCs w:val="32"/>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"_Toc22401" </w:instrText>
          </w:r>
          <w:r>
            <w:rPr>
              <w:color w:val="000000" w:themeColor="text1"/>
              <w14:textFill>
                <w14:solidFill>
                  <w14:schemeClr w14:val="tx1"/>
                </w14:solidFill>
              </w14:textFill>
            </w:rPr>
            <w:fldChar w:fldCharType="separate"/>
          </w:r>
          <w:r>
            <w:rPr>
              <w:rFonts w:eastAsia="仿宋_GB2312"/>
              <w:color w:val="000000" w:themeColor="text1"/>
              <w:sz w:val="32"/>
              <w:szCs w:val="32"/>
              <w14:textFill>
                <w14:solidFill>
                  <w14:schemeClr w14:val="tx1"/>
                </w14:solidFill>
              </w14:textFill>
            </w:rPr>
            <w:t>十、政府性基金预算财政拨款收入支出决算表</w:t>
          </w:r>
          <w:r>
            <w:rPr>
              <w:rFonts w:eastAsia="仿宋_GB2312"/>
              <w:color w:val="000000" w:themeColor="text1"/>
              <w:sz w:val="32"/>
              <w:szCs w:val="32"/>
              <w14:textFill>
                <w14:solidFill>
                  <w14:schemeClr w14:val="tx1"/>
                </w14:solidFill>
              </w14:textFill>
            </w:rPr>
            <w:tab/>
          </w:r>
          <w:r>
            <w:rPr>
              <w:rFonts w:eastAsia="仿宋_GB2312"/>
              <w:color w:val="000000" w:themeColor="text1"/>
              <w:sz w:val="32"/>
              <w:szCs w:val="32"/>
              <w14:textFill>
                <w14:solidFill>
                  <w14:schemeClr w14:val="tx1"/>
                </w14:solidFill>
              </w14:textFill>
            </w:rPr>
            <w:fldChar w:fldCharType="begin"/>
          </w:r>
          <w:r>
            <w:rPr>
              <w:rFonts w:eastAsia="仿宋_GB2312"/>
              <w:color w:val="000000" w:themeColor="text1"/>
              <w:sz w:val="32"/>
              <w:szCs w:val="32"/>
              <w14:textFill>
                <w14:solidFill>
                  <w14:schemeClr w14:val="tx1"/>
                </w14:solidFill>
              </w14:textFill>
            </w:rPr>
            <w:instrText xml:space="preserve"> PAGEREF _Toc22401 \h </w:instrText>
          </w:r>
          <w:r>
            <w:rPr>
              <w:rFonts w:eastAsia="仿宋_GB2312"/>
              <w:color w:val="000000" w:themeColor="text1"/>
              <w:sz w:val="32"/>
              <w:szCs w:val="32"/>
              <w14:textFill>
                <w14:solidFill>
                  <w14:schemeClr w14:val="tx1"/>
                </w14:solidFill>
              </w14:textFill>
            </w:rPr>
            <w:fldChar w:fldCharType="separate"/>
          </w:r>
          <w:r>
            <w:rPr>
              <w:rFonts w:eastAsia="仿宋_GB2312"/>
              <w:color w:val="000000" w:themeColor="text1"/>
              <w:sz w:val="32"/>
              <w:szCs w:val="32"/>
              <w14:textFill>
                <w14:solidFill>
                  <w14:schemeClr w14:val="tx1"/>
                </w14:solidFill>
              </w14:textFill>
            </w:rPr>
            <w:t>63</w:t>
          </w:r>
          <w:r>
            <w:rPr>
              <w:rFonts w:eastAsia="仿宋_GB2312"/>
              <w:color w:val="000000" w:themeColor="text1"/>
              <w:sz w:val="32"/>
              <w:szCs w:val="32"/>
              <w14:textFill>
                <w14:solidFill>
                  <w14:schemeClr w14:val="tx1"/>
                </w14:solidFill>
              </w14:textFill>
            </w:rPr>
            <w:fldChar w:fldCharType="end"/>
          </w:r>
          <w:r>
            <w:rPr>
              <w:rFonts w:eastAsia="仿宋_GB2312"/>
              <w:color w:val="000000" w:themeColor="text1"/>
              <w:sz w:val="32"/>
              <w:szCs w:val="32"/>
              <w14:textFill>
                <w14:solidFill>
                  <w14:schemeClr w14:val="tx1"/>
                </w14:solidFill>
              </w14:textFill>
            </w:rPr>
            <w:fldChar w:fldCharType="end"/>
          </w:r>
        </w:p>
        <w:p w14:paraId="6087D5C5">
          <w:pPr>
            <w:pStyle w:val="15"/>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560" w:lineRule="exact"/>
            <w:textAlignment w:val="auto"/>
            <w:rPr>
              <w:rFonts w:eastAsia="仿宋_GB2312"/>
              <w:color w:val="000000" w:themeColor="text1"/>
              <w:sz w:val="32"/>
              <w:szCs w:val="32"/>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"_Toc19814" </w:instrText>
          </w:r>
          <w:r>
            <w:rPr>
              <w:color w:val="000000" w:themeColor="text1"/>
              <w14:textFill>
                <w14:solidFill>
                  <w14:schemeClr w14:val="tx1"/>
                </w14:solidFill>
              </w14:textFill>
            </w:rPr>
            <w:fldChar w:fldCharType="separate"/>
          </w:r>
          <w:r>
            <w:rPr>
              <w:rFonts w:eastAsia="仿宋_GB2312"/>
              <w:color w:val="000000" w:themeColor="text1"/>
              <w:sz w:val="32"/>
              <w:szCs w:val="32"/>
              <w14:textFill>
                <w14:solidFill>
                  <w14:schemeClr w14:val="tx1"/>
                </w14:solidFill>
              </w14:textFill>
            </w:rPr>
            <w:t>十一、国有资本经营预算财政拨款收入支出决算表</w:t>
          </w:r>
          <w:r>
            <w:rPr>
              <w:rFonts w:eastAsia="仿宋_GB2312"/>
              <w:color w:val="000000" w:themeColor="text1"/>
              <w:sz w:val="32"/>
              <w:szCs w:val="32"/>
              <w14:textFill>
                <w14:solidFill>
                  <w14:schemeClr w14:val="tx1"/>
                </w14:solidFill>
              </w14:textFill>
            </w:rPr>
            <w:tab/>
          </w:r>
          <w:r>
            <w:rPr>
              <w:rFonts w:eastAsia="仿宋_GB2312"/>
              <w:color w:val="000000" w:themeColor="text1"/>
              <w:sz w:val="32"/>
              <w:szCs w:val="32"/>
              <w14:textFill>
                <w14:solidFill>
                  <w14:schemeClr w14:val="tx1"/>
                </w14:solidFill>
              </w14:textFill>
            </w:rPr>
            <w:fldChar w:fldCharType="begin"/>
          </w:r>
          <w:r>
            <w:rPr>
              <w:rFonts w:eastAsia="仿宋_GB2312"/>
              <w:color w:val="000000" w:themeColor="text1"/>
              <w:sz w:val="32"/>
              <w:szCs w:val="32"/>
              <w14:textFill>
                <w14:solidFill>
                  <w14:schemeClr w14:val="tx1"/>
                </w14:solidFill>
              </w14:textFill>
            </w:rPr>
            <w:instrText xml:space="preserve"> PAGEREF _Toc19814 \h </w:instrText>
          </w:r>
          <w:r>
            <w:rPr>
              <w:rFonts w:eastAsia="仿宋_GB2312"/>
              <w:color w:val="000000" w:themeColor="text1"/>
              <w:sz w:val="32"/>
              <w:szCs w:val="32"/>
              <w14:textFill>
                <w14:solidFill>
                  <w14:schemeClr w14:val="tx1"/>
                </w14:solidFill>
              </w14:textFill>
            </w:rPr>
            <w:fldChar w:fldCharType="separate"/>
          </w:r>
          <w:r>
            <w:rPr>
              <w:rFonts w:eastAsia="仿宋_GB2312"/>
              <w:color w:val="000000" w:themeColor="text1"/>
              <w:sz w:val="32"/>
              <w:szCs w:val="32"/>
              <w14:textFill>
                <w14:solidFill>
                  <w14:schemeClr w14:val="tx1"/>
                </w14:solidFill>
              </w14:textFill>
            </w:rPr>
            <w:t>63</w:t>
          </w:r>
          <w:r>
            <w:rPr>
              <w:rFonts w:eastAsia="仿宋_GB2312"/>
              <w:color w:val="000000" w:themeColor="text1"/>
              <w:sz w:val="32"/>
              <w:szCs w:val="32"/>
              <w14:textFill>
                <w14:solidFill>
                  <w14:schemeClr w14:val="tx1"/>
                </w14:solidFill>
              </w14:textFill>
            </w:rPr>
            <w:fldChar w:fldCharType="end"/>
          </w:r>
          <w:r>
            <w:rPr>
              <w:rFonts w:eastAsia="仿宋_GB2312"/>
              <w:color w:val="000000" w:themeColor="text1"/>
              <w:sz w:val="32"/>
              <w:szCs w:val="32"/>
              <w14:textFill>
                <w14:solidFill>
                  <w14:schemeClr w14:val="tx1"/>
                </w14:solidFill>
              </w14:textFill>
            </w:rPr>
            <w:fldChar w:fldCharType="end"/>
          </w:r>
        </w:p>
        <w:p w14:paraId="3633AD3F">
          <w:pPr>
            <w:pStyle w:val="15"/>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560" w:lineRule="exact"/>
            <w:textAlignment w:val="auto"/>
            <w:rPr>
              <w:rFonts w:eastAsia="仿宋_GB2312"/>
              <w:color w:val="000000" w:themeColor="text1"/>
              <w:sz w:val="32"/>
              <w:szCs w:val="32"/>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"_Toc5866" </w:instrText>
          </w:r>
          <w:r>
            <w:rPr>
              <w:color w:val="000000" w:themeColor="text1"/>
              <w14:textFill>
                <w14:solidFill>
                  <w14:schemeClr w14:val="tx1"/>
                </w14:solidFill>
              </w14:textFill>
            </w:rPr>
            <w:fldChar w:fldCharType="separate"/>
          </w:r>
          <w:r>
            <w:rPr>
              <w:rFonts w:eastAsia="仿宋_GB2312"/>
              <w:color w:val="000000" w:themeColor="text1"/>
              <w:sz w:val="32"/>
              <w:szCs w:val="32"/>
              <w14:textFill>
                <w14:solidFill>
                  <w14:schemeClr w14:val="tx1"/>
                </w14:solidFill>
              </w14:textFill>
            </w:rPr>
            <w:t>十二、国有资本经营预算财政拨款支出决算表</w:t>
          </w:r>
          <w:r>
            <w:rPr>
              <w:rFonts w:eastAsia="仿宋_GB2312"/>
              <w:color w:val="000000" w:themeColor="text1"/>
              <w:sz w:val="32"/>
              <w:szCs w:val="32"/>
              <w14:textFill>
                <w14:solidFill>
                  <w14:schemeClr w14:val="tx1"/>
                </w14:solidFill>
              </w14:textFill>
            </w:rPr>
            <w:tab/>
          </w:r>
          <w:r>
            <w:rPr>
              <w:rFonts w:eastAsia="仿宋_GB2312"/>
              <w:color w:val="000000" w:themeColor="text1"/>
              <w:sz w:val="32"/>
              <w:szCs w:val="32"/>
              <w14:textFill>
                <w14:solidFill>
                  <w14:schemeClr w14:val="tx1"/>
                </w14:solidFill>
              </w14:textFill>
            </w:rPr>
            <w:fldChar w:fldCharType="begin"/>
          </w:r>
          <w:r>
            <w:rPr>
              <w:rFonts w:eastAsia="仿宋_GB2312"/>
              <w:color w:val="000000" w:themeColor="text1"/>
              <w:sz w:val="32"/>
              <w:szCs w:val="32"/>
              <w14:textFill>
                <w14:solidFill>
                  <w14:schemeClr w14:val="tx1"/>
                </w14:solidFill>
              </w14:textFill>
            </w:rPr>
            <w:instrText xml:space="preserve"> PAGEREF _Toc5866 \h </w:instrText>
          </w:r>
          <w:r>
            <w:rPr>
              <w:rFonts w:eastAsia="仿宋_GB2312"/>
              <w:color w:val="000000" w:themeColor="text1"/>
              <w:sz w:val="32"/>
              <w:szCs w:val="32"/>
              <w14:textFill>
                <w14:solidFill>
                  <w14:schemeClr w14:val="tx1"/>
                </w14:solidFill>
              </w14:textFill>
            </w:rPr>
            <w:fldChar w:fldCharType="separate"/>
          </w:r>
          <w:r>
            <w:rPr>
              <w:rFonts w:eastAsia="仿宋_GB2312"/>
              <w:color w:val="000000" w:themeColor="text1"/>
              <w:sz w:val="32"/>
              <w:szCs w:val="32"/>
              <w14:textFill>
                <w14:solidFill>
                  <w14:schemeClr w14:val="tx1"/>
                </w14:solidFill>
              </w14:textFill>
            </w:rPr>
            <w:t>63</w:t>
          </w:r>
          <w:r>
            <w:rPr>
              <w:rFonts w:eastAsia="仿宋_GB2312"/>
              <w:color w:val="000000" w:themeColor="text1"/>
              <w:sz w:val="32"/>
              <w:szCs w:val="32"/>
              <w14:textFill>
                <w14:solidFill>
                  <w14:schemeClr w14:val="tx1"/>
                </w14:solidFill>
              </w14:textFill>
            </w:rPr>
            <w:fldChar w:fldCharType="end"/>
          </w:r>
          <w:r>
            <w:rPr>
              <w:rFonts w:eastAsia="仿宋_GB2312"/>
              <w:color w:val="000000" w:themeColor="text1"/>
              <w:sz w:val="32"/>
              <w:szCs w:val="32"/>
              <w14:textFill>
                <w14:solidFill>
                  <w14:schemeClr w14:val="tx1"/>
                </w14:solidFill>
              </w14:textFill>
            </w:rPr>
            <w:fldChar w:fldCharType="end"/>
          </w:r>
        </w:p>
        <w:p w14:paraId="5351FD4D">
          <w:pPr>
            <w:pStyle w:val="15"/>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560" w:lineRule="exact"/>
            <w:textAlignment w:val="auto"/>
            <w:rPr>
              <w:rFonts w:eastAsia="仿宋_GB2312"/>
              <w:color w:val="000000" w:themeColor="text1"/>
              <w:sz w:val="32"/>
              <w:szCs w:val="32"/>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"_Toc29625" </w:instrText>
          </w:r>
          <w:r>
            <w:rPr>
              <w:color w:val="000000" w:themeColor="text1"/>
              <w14:textFill>
                <w14:solidFill>
                  <w14:schemeClr w14:val="tx1"/>
                </w14:solidFill>
              </w14:textFill>
            </w:rPr>
            <w:fldChar w:fldCharType="separate"/>
          </w:r>
          <w:r>
            <w:rPr>
              <w:rFonts w:eastAsia="仿宋_GB2312"/>
              <w:color w:val="000000" w:themeColor="text1"/>
              <w:sz w:val="32"/>
              <w:szCs w:val="32"/>
              <w14:textFill>
                <w14:solidFill>
                  <w14:schemeClr w14:val="tx1"/>
                </w14:solidFill>
              </w14:textFill>
            </w:rPr>
            <w:t>十三、财政拨款“三公”经费支出决算表</w:t>
          </w:r>
          <w:r>
            <w:rPr>
              <w:rFonts w:eastAsia="仿宋_GB2312"/>
              <w:color w:val="000000" w:themeColor="text1"/>
              <w:sz w:val="32"/>
              <w:szCs w:val="32"/>
              <w14:textFill>
                <w14:solidFill>
                  <w14:schemeClr w14:val="tx1"/>
                </w14:solidFill>
              </w14:textFill>
            </w:rPr>
            <w:tab/>
          </w:r>
          <w:r>
            <w:rPr>
              <w:rFonts w:eastAsia="仿宋_GB2312"/>
              <w:color w:val="000000" w:themeColor="text1"/>
              <w:sz w:val="32"/>
              <w:szCs w:val="32"/>
              <w14:textFill>
                <w14:solidFill>
                  <w14:schemeClr w14:val="tx1"/>
                </w14:solidFill>
              </w14:textFill>
            </w:rPr>
            <w:fldChar w:fldCharType="begin"/>
          </w:r>
          <w:r>
            <w:rPr>
              <w:rFonts w:eastAsia="仿宋_GB2312"/>
              <w:color w:val="000000" w:themeColor="text1"/>
              <w:sz w:val="32"/>
              <w:szCs w:val="32"/>
              <w14:textFill>
                <w14:solidFill>
                  <w14:schemeClr w14:val="tx1"/>
                </w14:solidFill>
              </w14:textFill>
            </w:rPr>
            <w:instrText xml:space="preserve"> PAGEREF _Toc29625 \h </w:instrText>
          </w:r>
          <w:r>
            <w:rPr>
              <w:rFonts w:eastAsia="仿宋_GB2312"/>
              <w:color w:val="000000" w:themeColor="text1"/>
              <w:sz w:val="32"/>
              <w:szCs w:val="32"/>
              <w14:textFill>
                <w14:solidFill>
                  <w14:schemeClr w14:val="tx1"/>
                </w14:solidFill>
              </w14:textFill>
            </w:rPr>
            <w:fldChar w:fldCharType="separate"/>
          </w:r>
          <w:r>
            <w:rPr>
              <w:rFonts w:eastAsia="仿宋_GB2312"/>
              <w:color w:val="000000" w:themeColor="text1"/>
              <w:sz w:val="32"/>
              <w:szCs w:val="32"/>
              <w14:textFill>
                <w14:solidFill>
                  <w14:schemeClr w14:val="tx1"/>
                </w14:solidFill>
              </w14:textFill>
            </w:rPr>
            <w:t>63</w:t>
          </w:r>
          <w:r>
            <w:rPr>
              <w:rFonts w:eastAsia="仿宋_GB2312"/>
              <w:color w:val="000000" w:themeColor="text1"/>
              <w:sz w:val="32"/>
              <w:szCs w:val="32"/>
              <w14:textFill>
                <w14:solidFill>
                  <w14:schemeClr w14:val="tx1"/>
                </w14:solidFill>
              </w14:textFill>
            </w:rPr>
            <w:fldChar w:fldCharType="end"/>
          </w:r>
          <w:r>
            <w:rPr>
              <w:rFonts w:eastAsia="仿宋_GB2312"/>
              <w:color w:val="000000" w:themeColor="text1"/>
              <w:sz w:val="32"/>
              <w:szCs w:val="32"/>
              <w14:textFill>
                <w14:solidFill>
                  <w14:schemeClr w14:val="tx1"/>
                </w14:solidFill>
              </w14:textFill>
            </w:rPr>
            <w:fldChar w:fldCharType="end"/>
          </w:r>
        </w:p>
        <w:p w14:paraId="37040E6B">
          <w:pPr>
            <w:keepNext w:val="0"/>
            <w:keepLines w:val="0"/>
            <w:pageBreakBefore w:val="0"/>
            <w:widowControl w:val="0"/>
            <w:kinsoku/>
            <w:wordWrap/>
            <w:overflowPunct/>
            <w:topLinePunct w:val="0"/>
            <w:autoSpaceDE/>
            <w:autoSpaceDN/>
            <w:bidi w:val="0"/>
            <w:adjustRightInd/>
            <w:snapToGrid/>
            <w:spacing w:line="560" w:lineRule="exact"/>
            <w:textAlignment w:val="auto"/>
            <w:rPr>
              <w:color w:val="000000" w:themeColor="text1"/>
              <w14:textFill>
                <w14:solidFill>
                  <w14:schemeClr w14:val="tx1"/>
                </w14:solidFill>
              </w14:textFill>
            </w:rPr>
          </w:pPr>
        </w:p>
        <w:p w14:paraId="412359C4">
          <w:pPr>
            <w:keepNext w:val="0"/>
            <w:keepLines w:val="0"/>
            <w:pageBreakBefore w:val="0"/>
            <w:widowControl w:val="0"/>
            <w:kinsoku/>
            <w:wordWrap/>
            <w:overflowPunct/>
            <w:topLinePunct w:val="0"/>
            <w:autoSpaceDE/>
            <w:autoSpaceDN/>
            <w:bidi w:val="0"/>
            <w:adjustRightInd/>
            <w:snapToGrid/>
            <w:spacing w:line="560" w:lineRule="exact"/>
            <w:textAlignment w:val="auto"/>
            <w:rPr>
              <w:color w:val="000000" w:themeColor="text1"/>
              <w14:textFill>
                <w14:solidFill>
                  <w14:schemeClr w14:val="tx1"/>
                </w14:solidFill>
              </w14:textFill>
            </w:rPr>
          </w:pPr>
          <w:r>
            <w:rPr>
              <w:rFonts w:eastAsia="仿宋_GB2312"/>
              <w:color w:val="000000" w:themeColor="text1"/>
              <w:sz w:val="32"/>
              <w:szCs w:val="32"/>
              <w14:textFill>
                <w14:solidFill>
                  <w14:schemeClr w14:val="tx1"/>
                </w14:solidFill>
              </w14:textFill>
            </w:rPr>
            <w:fldChar w:fldCharType="end"/>
          </w:r>
        </w:p>
      </w:sdtContent>
    </w:sdt>
    <w:p w14:paraId="0BEEB28A">
      <w:pPr>
        <w:pStyle w:val="2"/>
        <w:jc w:val="center"/>
        <w:rPr>
          <w:rFonts w:eastAsia="方正小标宋简体" w:cs="方正小标宋简体"/>
          <w:b w:val="0"/>
          <w:color w:val="000000" w:themeColor="text1"/>
          <w14:textFill>
            <w14:solidFill>
              <w14:schemeClr w14:val="tx1"/>
            </w14:solidFill>
          </w14:textFill>
        </w:rPr>
        <w:sectPr>
          <w:headerReference r:id="rId3" w:type="default"/>
          <w:footerReference r:id="rId4" w:type="default"/>
          <w:pgSz w:w="11906" w:h="16838"/>
          <w:pgMar w:top="1440" w:right="1800" w:bottom="1440" w:left="1800" w:header="851" w:footer="992" w:gutter="0"/>
          <w:pgNumType w:start="1"/>
          <w:cols w:space="425" w:num="1"/>
          <w:docGrid w:type="lines" w:linePitch="312" w:charSpace="0"/>
        </w:sectPr>
      </w:pPr>
      <w:bookmarkStart w:id="12" w:name="_Toc15396599"/>
      <w:bookmarkStart w:id="13" w:name="_Toc15377196"/>
      <w:bookmarkStart w:id="14" w:name="_Toc11762"/>
    </w:p>
    <w:p w14:paraId="0CC5E4C1">
      <w:pPr>
        <w:pStyle w:val="2"/>
        <w:jc w:val="center"/>
        <w:rPr>
          <w:rFonts w:eastAsia="黑体"/>
          <w:color w:val="000000" w:themeColor="text1"/>
          <w:sz w:val="32"/>
          <w:szCs w:val="32"/>
          <w14:textFill>
            <w14:solidFill>
              <w14:schemeClr w14:val="tx1"/>
            </w14:solidFill>
          </w14:textFill>
        </w:rPr>
      </w:pPr>
      <w:r>
        <w:rPr>
          <w:rFonts w:hint="eastAsia" w:eastAsia="方正小标宋简体" w:cs="方正小标宋简体"/>
          <w:b w:val="0"/>
          <w:color w:val="000000" w:themeColor="text1"/>
          <w14:textFill>
            <w14:solidFill>
              <w14:schemeClr w14:val="tx1"/>
            </w14:solidFill>
          </w14:textFill>
        </w:rPr>
        <w:t xml:space="preserve">第一部分  </w:t>
      </w:r>
      <w:r>
        <w:rPr>
          <w:rStyle w:val="29"/>
          <w:rFonts w:hint="eastAsia" w:eastAsia="方正小标宋简体" w:cs="方正小标宋简体"/>
          <w:b w:val="0"/>
          <w:bCs w:val="0"/>
          <w:color w:val="000000" w:themeColor="text1"/>
          <w14:textFill>
            <w14:solidFill>
              <w14:schemeClr w14:val="tx1"/>
            </w14:solidFill>
          </w14:textFill>
        </w:rPr>
        <w:t>部门概况</w:t>
      </w:r>
      <w:bookmarkEnd w:id="12"/>
      <w:bookmarkEnd w:id="13"/>
      <w:bookmarkEnd w:id="14"/>
    </w:p>
    <w:p w14:paraId="7E7FA082">
      <w:pPr>
        <w:pStyle w:val="3"/>
        <w:numPr>
          <w:ilvl w:val="0"/>
          <w:numId w:val="1"/>
        </w:numPr>
        <w:spacing w:before="0" w:after="0" w:line="600" w:lineRule="exact"/>
        <w:ind w:firstLine="640" w:firstLineChars="200"/>
        <w:rPr>
          <w:rFonts w:ascii="Times New Roman" w:hAnsi="Times New Roman" w:eastAsia="黑体"/>
          <w:b w:val="0"/>
          <w:color w:val="000000" w:themeColor="text1"/>
          <w14:textFill>
            <w14:solidFill>
              <w14:schemeClr w14:val="tx1"/>
            </w14:solidFill>
          </w14:textFill>
        </w:rPr>
      </w:pPr>
      <w:bookmarkStart w:id="15" w:name="_Toc11296"/>
      <w:r>
        <w:rPr>
          <w:rFonts w:hint="eastAsia" w:ascii="Times New Roman" w:hAnsi="Times New Roman" w:eastAsia="黑体"/>
          <w:b w:val="0"/>
          <w:color w:val="000000" w:themeColor="text1"/>
          <w14:textFill>
            <w14:solidFill>
              <w14:schemeClr w14:val="tx1"/>
            </w14:solidFill>
          </w14:textFill>
        </w:rPr>
        <w:t>部门职责</w:t>
      </w:r>
      <w:bookmarkEnd w:id="15"/>
    </w:p>
    <w:p w14:paraId="5818EE9D">
      <w:pPr>
        <w:pageBreakBefore w:val="0"/>
        <w:widowControl w:val="0"/>
        <w:numPr>
          <w:ilvl w:val="255"/>
          <w:numId w:val="0"/>
        </w:numPr>
        <w:kinsoku/>
        <w:wordWrap/>
        <w:overflowPunct/>
        <w:topLinePunct w:val="0"/>
        <w:autoSpaceDE/>
        <w:autoSpaceDN/>
        <w:bidi w:val="0"/>
        <w:spacing w:line="600" w:lineRule="exact"/>
        <w:ind w:firstLine="640" w:firstLineChars="200"/>
        <w:textAlignment w:val="auto"/>
        <w:rPr>
          <w:rFonts w:hint="default" w:ascii="Times New Roman" w:hAnsi="Times New Roman" w:eastAsia="方正仿宋_GB2312" w:cs="Times New Roman"/>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攀</w:t>
      </w:r>
      <w:r>
        <w:rPr>
          <w:rFonts w:hint="default" w:ascii="Times New Roman" w:hAnsi="Times New Roman" w:eastAsia="方正仿宋_GB2312" w:cs="Times New Roman"/>
          <w:color w:val="000000" w:themeColor="text1"/>
          <w:sz w:val="32"/>
          <w:szCs w:val="32"/>
          <w14:textFill>
            <w14:solidFill>
              <w14:schemeClr w14:val="tx1"/>
            </w14:solidFill>
          </w14:textFill>
        </w:rPr>
        <w:t>枝花市发展和改革委员会贯彻执行国家有关国民经济和社会发展、经济体制改革的方针、政策和法律、法规；负责汇总分析全市财政、金融等方面情况，参与拟订财政、金融、土地政策；承担指导推进和综合协调全市经济体制改革的责任，研究经济体制改革和对外开放的重大问题及对策；贯彻执行国家和省价格法律、法规和方针、政策，编制和执行价格调整改革规划，组织实施年度价格总水平调控目标及价格调控措施；负责全市投资宏观管理和协调推进重大项目建设，拟订全社会固定资产投资总规模和投资结构的调控目标等；推进经济结构战略性调整，组织拟订全市综合性产业政策，推进重大科技成果产业化；促进城乡区域协调发展，研究分析区域经济和城镇化发展情况；负责重要商品总量平衡和宏观调控，研究分析市内外市场和对外贸易运行情况；负责全市社会发展与国民经济发展的政策衔接，组织拟订社会发展战略、中长期规划和年度计划；推进可持续发展战略，负责全市节能减排的综合协调工作；研究提出全市能源发展战略和政策措施，拟订全市能源发展规划并提出相关体制改革建议；负责指导和协调全市招标投标工作；负责全市铁路建设项目前期工作，组织协调铁路建设工作中的征地拆迁和重大问题；贯彻执行国家、省以工代赈政策，促进民族地区经济社会持续、稳定、协调发展；承担市资源开发委员会（市实施西部大开发领导小组）的具体工作；承担市政府公布的有关行政审批事项；承办市政府交办的其他事项。</w:t>
      </w:r>
    </w:p>
    <w:p w14:paraId="30750F69">
      <w:pPr>
        <w:pStyle w:val="3"/>
        <w:pageBreakBefore w:val="0"/>
        <w:widowControl w:val="0"/>
        <w:kinsoku/>
        <w:wordWrap/>
        <w:overflowPunct/>
        <w:topLinePunct w:val="0"/>
        <w:autoSpaceDE/>
        <w:autoSpaceDN/>
        <w:bidi w:val="0"/>
        <w:spacing w:before="0" w:after="0" w:line="600" w:lineRule="exact"/>
        <w:ind w:firstLine="640" w:firstLineChars="200"/>
        <w:textAlignment w:val="auto"/>
        <w:rPr>
          <w:rStyle w:val="30"/>
          <w:rFonts w:hint="eastAsia" w:ascii="黑体" w:hAnsi="黑体" w:eastAsia="黑体" w:cs="黑体"/>
          <w:b w:val="0"/>
          <w:bCs w:val="0"/>
          <w:color w:val="000000" w:themeColor="text1"/>
          <w14:textFill>
            <w14:solidFill>
              <w14:schemeClr w14:val="tx1"/>
            </w14:solidFill>
          </w14:textFill>
        </w:rPr>
      </w:pPr>
      <w:bookmarkStart w:id="16" w:name="_Toc9205"/>
      <w:bookmarkStart w:id="17" w:name="_Toc15377200"/>
      <w:bookmarkStart w:id="18" w:name="_Toc15396601"/>
      <w:r>
        <w:rPr>
          <w:rFonts w:hint="eastAsia" w:ascii="黑体" w:hAnsi="黑体" w:eastAsia="黑体" w:cs="黑体"/>
          <w:b w:val="0"/>
          <w:color w:val="000000" w:themeColor="text1"/>
          <w14:textFill>
            <w14:solidFill>
              <w14:schemeClr w14:val="tx1"/>
            </w14:solidFill>
          </w14:textFill>
        </w:rPr>
        <w:t>二、机</w:t>
      </w:r>
      <w:r>
        <w:rPr>
          <w:rStyle w:val="30"/>
          <w:rFonts w:hint="eastAsia" w:ascii="黑体" w:hAnsi="黑体" w:eastAsia="黑体" w:cs="黑体"/>
          <w:b w:val="0"/>
          <w:bCs w:val="0"/>
          <w:color w:val="000000" w:themeColor="text1"/>
          <w14:textFill>
            <w14:solidFill>
              <w14:schemeClr w14:val="tx1"/>
            </w14:solidFill>
          </w14:textFill>
        </w:rPr>
        <w:t>构设置</w:t>
      </w:r>
      <w:bookmarkEnd w:id="16"/>
      <w:bookmarkEnd w:id="17"/>
      <w:bookmarkEnd w:id="18"/>
    </w:p>
    <w:p w14:paraId="628BE2A2">
      <w:pPr>
        <w:pageBreakBefore w:val="0"/>
        <w:widowControl w:val="0"/>
        <w:kinsoku/>
        <w:wordWrap/>
        <w:overflowPunct/>
        <w:topLinePunct w:val="0"/>
        <w:autoSpaceDE/>
        <w:autoSpaceDN/>
        <w:bidi w:val="0"/>
        <w:spacing w:line="600" w:lineRule="exact"/>
        <w:ind w:firstLine="640" w:firstLineChars="200"/>
        <w:textAlignment w:val="auto"/>
        <w:rPr>
          <w:rFonts w:hint="default" w:ascii="Times New Roman" w:hAnsi="Times New Roman" w:eastAsia="方正仿宋_GB2312" w:cs="Times New Roman"/>
          <w:color w:val="000000" w:themeColor="text1"/>
          <w:sz w:val="32"/>
          <w:szCs w:val="32"/>
          <w14:textFill>
            <w14:solidFill>
              <w14:schemeClr w14:val="tx1"/>
            </w14:solidFill>
          </w14:textFill>
        </w:rPr>
      </w:pPr>
      <w:r>
        <w:rPr>
          <w:rFonts w:hint="default" w:ascii="Times New Roman" w:hAnsi="Times New Roman" w:eastAsia="方正仿宋_GB2312" w:cs="Times New Roman"/>
          <w:color w:val="000000" w:themeColor="text1"/>
          <w:sz w:val="32"/>
          <w:szCs w:val="32"/>
          <w14:textFill>
            <w14:solidFill>
              <w14:schemeClr w14:val="tx1"/>
            </w14:solidFill>
          </w14:textFill>
        </w:rPr>
        <w:t>攀枝花市发展和改革委员会下属二级预算单位4个，其中行政单位0个，参照公务员法管理的事业单位</w:t>
      </w:r>
      <w:r>
        <w:rPr>
          <w:rFonts w:hint="default" w:ascii="Times New Roman" w:hAnsi="Times New Roman" w:eastAsia="方正仿宋_GB2312" w:cs="Times New Roman"/>
          <w:bCs/>
          <w:color w:val="000000" w:themeColor="text1"/>
          <w:sz w:val="32"/>
          <w:szCs w:val="32"/>
          <w14:textFill>
            <w14:solidFill>
              <w14:schemeClr w14:val="tx1"/>
            </w14:solidFill>
          </w14:textFill>
        </w:rPr>
        <w:t>0</w:t>
      </w:r>
      <w:r>
        <w:rPr>
          <w:rFonts w:hint="default" w:ascii="Times New Roman" w:hAnsi="Times New Roman" w:eastAsia="方正仿宋_GB2312" w:cs="Times New Roman"/>
          <w:color w:val="000000" w:themeColor="text1"/>
          <w:sz w:val="32"/>
          <w:szCs w:val="32"/>
          <w14:textFill>
            <w14:solidFill>
              <w14:schemeClr w14:val="tx1"/>
            </w14:solidFill>
          </w14:textFill>
        </w:rPr>
        <w:t>个，其他事业单位4个。</w:t>
      </w:r>
    </w:p>
    <w:p w14:paraId="335B9B18">
      <w:pPr>
        <w:pStyle w:val="6"/>
        <w:pageBreakBefore w:val="0"/>
        <w:widowControl w:val="0"/>
        <w:kinsoku/>
        <w:wordWrap/>
        <w:overflowPunct/>
        <w:topLinePunct w:val="0"/>
        <w:autoSpaceDE/>
        <w:autoSpaceDN/>
        <w:bidi w:val="0"/>
        <w:adjustRightInd w:val="0"/>
        <w:snapToGrid w:val="0"/>
        <w:spacing w:beforeLines="0" w:line="600" w:lineRule="exact"/>
        <w:ind w:firstLine="640" w:firstLineChars="200"/>
        <w:textAlignment w:val="auto"/>
        <w:rPr>
          <w:rFonts w:hint="default" w:ascii="Times New Roman" w:hAnsi="Times New Roman" w:eastAsia="方正仿宋_GB2312" w:cs="Times New Roman"/>
          <w:color w:val="000000" w:themeColor="text1"/>
          <w:sz w:val="32"/>
          <w:szCs w:val="32"/>
          <w14:textFill>
            <w14:solidFill>
              <w14:schemeClr w14:val="tx1"/>
            </w14:solidFill>
          </w14:textFill>
        </w:rPr>
      </w:pPr>
      <w:r>
        <w:rPr>
          <w:rFonts w:hint="default" w:ascii="Times New Roman" w:hAnsi="Times New Roman" w:eastAsia="方正仿宋_GB2312" w:cs="Times New Roman"/>
          <w:color w:val="000000" w:themeColor="text1"/>
          <w:sz w:val="32"/>
          <w:szCs w:val="32"/>
          <w14:textFill>
            <w14:solidFill>
              <w14:schemeClr w14:val="tx1"/>
            </w14:solidFill>
          </w14:textFill>
        </w:rPr>
        <w:t>纳入攀枝花市发展和改革委员会2025年度部门决算编制范围的二级预算单位包括：</w:t>
      </w:r>
    </w:p>
    <w:p w14:paraId="03E14986">
      <w:pPr>
        <w:pageBreakBefore w:val="0"/>
        <w:widowControl w:val="0"/>
        <w:kinsoku/>
        <w:wordWrap/>
        <w:overflowPunct/>
        <w:topLinePunct w:val="0"/>
        <w:autoSpaceDE/>
        <w:autoSpaceDN/>
        <w:bidi w:val="0"/>
        <w:spacing w:line="600" w:lineRule="exact"/>
        <w:ind w:firstLine="640" w:firstLineChars="200"/>
        <w:textAlignment w:val="auto"/>
        <w:rPr>
          <w:rFonts w:hint="default" w:ascii="Times New Roman" w:hAnsi="Times New Roman" w:eastAsia="方正仿宋_GB2312" w:cs="Times New Roman"/>
          <w:color w:val="000000" w:themeColor="text1"/>
          <w:sz w:val="32"/>
          <w:szCs w:val="32"/>
          <w14:textFill>
            <w14:solidFill>
              <w14:schemeClr w14:val="tx1"/>
            </w14:solidFill>
          </w14:textFill>
        </w:rPr>
      </w:pPr>
      <w:r>
        <w:rPr>
          <w:rFonts w:hint="default" w:ascii="Times New Roman" w:hAnsi="Times New Roman" w:eastAsia="方正仿宋_GB2312" w:cs="Times New Roman"/>
          <w:color w:val="000000" w:themeColor="text1"/>
          <w:sz w:val="32"/>
          <w:szCs w:val="32"/>
          <w14:textFill>
            <w14:solidFill>
              <w14:schemeClr w14:val="tx1"/>
            </w14:solidFill>
          </w14:textFill>
        </w:rPr>
        <w:t>1.攀枝花市价格认证中心；</w:t>
      </w:r>
    </w:p>
    <w:p w14:paraId="55098374">
      <w:pPr>
        <w:pageBreakBefore w:val="0"/>
        <w:widowControl w:val="0"/>
        <w:kinsoku/>
        <w:wordWrap/>
        <w:overflowPunct/>
        <w:topLinePunct w:val="0"/>
        <w:autoSpaceDE/>
        <w:autoSpaceDN/>
        <w:bidi w:val="0"/>
        <w:spacing w:line="600" w:lineRule="exact"/>
        <w:ind w:firstLine="640" w:firstLineChars="200"/>
        <w:textAlignment w:val="auto"/>
        <w:rPr>
          <w:rFonts w:hint="default" w:ascii="Times New Roman" w:hAnsi="Times New Roman" w:eastAsia="方正仿宋_GB2312" w:cs="Times New Roman"/>
          <w:color w:val="000000" w:themeColor="text1"/>
          <w:sz w:val="32"/>
          <w:szCs w:val="32"/>
          <w14:textFill>
            <w14:solidFill>
              <w14:schemeClr w14:val="tx1"/>
            </w14:solidFill>
          </w14:textFill>
        </w:rPr>
      </w:pPr>
      <w:r>
        <w:rPr>
          <w:rFonts w:hint="default" w:ascii="Times New Roman" w:hAnsi="Times New Roman" w:eastAsia="方正仿宋_GB2312" w:cs="Times New Roman"/>
          <w:color w:val="000000" w:themeColor="text1"/>
          <w:sz w:val="32"/>
          <w:szCs w:val="32"/>
          <w14:textFill>
            <w14:solidFill>
              <w14:schemeClr w14:val="tx1"/>
            </w14:solidFill>
          </w14:textFill>
        </w:rPr>
        <w:t>2.攀枝花市重要和应急物资储备中心；</w:t>
      </w:r>
    </w:p>
    <w:p w14:paraId="6C1EEE18">
      <w:pPr>
        <w:pageBreakBefore w:val="0"/>
        <w:widowControl w:val="0"/>
        <w:kinsoku/>
        <w:wordWrap/>
        <w:overflowPunct/>
        <w:topLinePunct w:val="0"/>
        <w:autoSpaceDE/>
        <w:autoSpaceDN/>
        <w:bidi w:val="0"/>
        <w:spacing w:line="600" w:lineRule="exact"/>
        <w:ind w:firstLine="640" w:firstLineChars="200"/>
        <w:textAlignment w:val="auto"/>
        <w:rPr>
          <w:rFonts w:hint="default" w:ascii="Times New Roman" w:hAnsi="Times New Roman" w:eastAsia="方正仿宋_GB2312" w:cs="Times New Roman"/>
          <w:color w:val="000000" w:themeColor="text1"/>
          <w:sz w:val="32"/>
          <w:szCs w:val="32"/>
          <w14:textFill>
            <w14:solidFill>
              <w14:schemeClr w14:val="tx1"/>
            </w14:solidFill>
          </w14:textFill>
        </w:rPr>
      </w:pPr>
      <w:r>
        <w:rPr>
          <w:rFonts w:hint="default" w:ascii="Times New Roman" w:hAnsi="Times New Roman" w:eastAsia="方正仿宋_GB2312" w:cs="Times New Roman"/>
          <w:color w:val="000000" w:themeColor="text1"/>
          <w:sz w:val="32"/>
          <w:szCs w:val="32"/>
          <w14:textFill>
            <w14:solidFill>
              <w14:schemeClr w14:val="tx1"/>
            </w14:solidFill>
          </w14:textFill>
        </w:rPr>
        <w:t>3.攀枝花市重大项目储备中心；</w:t>
      </w:r>
    </w:p>
    <w:p w14:paraId="492CD016">
      <w:pPr>
        <w:pageBreakBefore w:val="0"/>
        <w:widowControl w:val="0"/>
        <w:kinsoku/>
        <w:wordWrap/>
        <w:overflowPunct/>
        <w:topLinePunct w:val="0"/>
        <w:autoSpaceDE/>
        <w:autoSpaceDN/>
        <w:bidi w:val="0"/>
        <w:spacing w:line="600" w:lineRule="exact"/>
        <w:ind w:firstLine="640" w:firstLineChars="200"/>
        <w:textAlignment w:val="auto"/>
        <w:rPr>
          <w:rFonts w:hint="default" w:ascii="Times New Roman" w:hAnsi="Times New Roman" w:eastAsia="方正仿宋_GB2312" w:cs="Times New Roman"/>
          <w:color w:val="000000" w:themeColor="text1"/>
          <w:sz w:val="32"/>
          <w:szCs w:val="32"/>
          <w14:textFill>
            <w14:solidFill>
              <w14:schemeClr w14:val="tx1"/>
            </w14:solidFill>
          </w14:textFill>
        </w:rPr>
      </w:pPr>
      <w:r>
        <w:rPr>
          <w:rFonts w:hint="default" w:ascii="Times New Roman" w:hAnsi="Times New Roman" w:eastAsia="方正仿宋_GB2312" w:cs="Times New Roman"/>
          <w:color w:val="000000" w:themeColor="text1"/>
          <w:sz w:val="32"/>
          <w:szCs w:val="32"/>
          <w14:textFill>
            <w14:solidFill>
              <w14:schemeClr w14:val="tx1"/>
            </w14:solidFill>
          </w14:textFill>
        </w:rPr>
        <w:t>4.攀枝花市大数据中心。</w:t>
      </w:r>
    </w:p>
    <w:p w14:paraId="3990D397">
      <w:pPr>
        <w:pStyle w:val="6"/>
        <w:adjustRightInd w:val="0"/>
        <w:snapToGrid w:val="0"/>
        <w:spacing w:beforeLines="0" w:line="600" w:lineRule="exact"/>
        <w:ind w:firstLine="640" w:firstLineChars="200"/>
        <w:rPr>
          <w:rFonts w:ascii="Times New Roman" w:cs="仿宋_GB2312"/>
          <w:color w:val="000000" w:themeColor="text1"/>
          <w:sz w:val="32"/>
          <w:szCs w:val="32"/>
          <w14:textFill>
            <w14:solidFill>
              <w14:schemeClr w14:val="tx1"/>
            </w14:solidFill>
          </w14:textFill>
        </w:rPr>
      </w:pPr>
    </w:p>
    <w:p w14:paraId="0D371898">
      <w:pPr>
        <w:widowControl/>
        <w:jc w:val="left"/>
        <w:rPr>
          <w:rFonts w:eastAsia="仿宋"/>
          <w:color w:val="000000" w:themeColor="text1"/>
          <w:kern w:val="0"/>
          <w:sz w:val="32"/>
          <w:szCs w:val="32"/>
          <w14:textFill>
            <w14:solidFill>
              <w14:schemeClr w14:val="tx1"/>
            </w14:solidFill>
          </w14:textFill>
        </w:rPr>
      </w:pPr>
      <w:r>
        <w:rPr>
          <w:rFonts w:eastAsia="仿宋"/>
          <w:color w:val="000000" w:themeColor="text1"/>
          <w:sz w:val="32"/>
          <w:szCs w:val="32"/>
          <w14:textFill>
            <w14:solidFill>
              <w14:schemeClr w14:val="tx1"/>
            </w14:solidFill>
          </w14:textFill>
        </w:rPr>
        <w:br w:type="page"/>
      </w:r>
    </w:p>
    <w:p w14:paraId="4D4AEB9C">
      <w:pPr>
        <w:pStyle w:val="2"/>
        <w:jc w:val="center"/>
        <w:rPr>
          <w:rFonts w:eastAsia="方正小标宋简体" w:cs="方正小标宋简体"/>
          <w:b w:val="0"/>
          <w:color w:val="000000" w:themeColor="text1"/>
          <w14:textFill>
            <w14:solidFill>
              <w14:schemeClr w14:val="tx1"/>
            </w14:solidFill>
          </w14:textFill>
        </w:rPr>
      </w:pPr>
      <w:bookmarkStart w:id="19" w:name="_Toc15377204"/>
      <w:bookmarkStart w:id="20" w:name="_Toc25284"/>
      <w:bookmarkStart w:id="21" w:name="_Toc15396602"/>
      <w:r>
        <w:rPr>
          <w:rFonts w:hint="eastAsia" w:eastAsia="方正小标宋简体" w:cs="方正小标宋简体"/>
          <w:b w:val="0"/>
          <w:color w:val="000000" w:themeColor="text1"/>
          <w14:textFill>
            <w14:solidFill>
              <w14:schemeClr w14:val="tx1"/>
            </w14:solidFill>
          </w14:textFill>
        </w:rPr>
        <w:t>第二部分  2025年度部门决算情况说明</w:t>
      </w:r>
      <w:bookmarkEnd w:id="19"/>
      <w:bookmarkEnd w:id="20"/>
      <w:bookmarkEnd w:id="21"/>
    </w:p>
    <w:p w14:paraId="5DBE8E85">
      <w:pPr>
        <w:rPr>
          <w:color w:val="000000" w:themeColor="text1"/>
          <w14:textFill>
            <w14:solidFill>
              <w14:schemeClr w14:val="tx1"/>
            </w14:solidFill>
          </w14:textFill>
        </w:rPr>
      </w:pPr>
    </w:p>
    <w:p w14:paraId="1F5297FB">
      <w:pPr>
        <w:pStyle w:val="28"/>
        <w:keepNext w:val="0"/>
        <w:keepLines w:val="0"/>
        <w:pageBreakBefore w:val="0"/>
        <w:widowControl w:val="0"/>
        <w:kinsoku/>
        <w:wordWrap/>
        <w:overflowPunct/>
        <w:topLinePunct w:val="0"/>
        <w:autoSpaceDE/>
        <w:autoSpaceDN/>
        <w:bidi w:val="0"/>
        <w:adjustRightInd/>
        <w:snapToGrid/>
        <w:spacing w:line="600" w:lineRule="exact"/>
        <w:ind w:firstLine="640"/>
        <w:textAlignment w:val="auto"/>
        <w:outlineLvl w:val="1"/>
        <w:rPr>
          <w:rStyle w:val="30"/>
          <w:rFonts w:hint="eastAsia" w:ascii="黑体" w:hAnsi="黑体" w:eastAsia="黑体" w:cs="黑体"/>
          <w:b w:val="0"/>
          <w:color w:val="000000" w:themeColor="text1"/>
          <w14:textFill>
            <w14:solidFill>
              <w14:schemeClr w14:val="tx1"/>
            </w14:solidFill>
          </w14:textFill>
        </w:rPr>
      </w:pPr>
      <w:bookmarkStart w:id="22" w:name="_Toc31517"/>
      <w:bookmarkStart w:id="23" w:name="_Toc15396603"/>
      <w:bookmarkStart w:id="24" w:name="_Toc15377205"/>
      <w:r>
        <w:rPr>
          <w:rFonts w:hint="eastAsia" w:ascii="黑体" w:hAnsi="黑体" w:eastAsia="黑体" w:cs="黑体"/>
          <w:color w:val="000000" w:themeColor="text1"/>
          <w:sz w:val="32"/>
          <w:szCs w:val="32"/>
          <w14:textFill>
            <w14:solidFill>
              <w14:schemeClr w14:val="tx1"/>
            </w14:solidFill>
          </w14:textFill>
        </w:rPr>
        <w:t>一、收</w:t>
      </w:r>
      <w:r>
        <w:rPr>
          <w:rStyle w:val="30"/>
          <w:rFonts w:hint="eastAsia" w:ascii="黑体" w:hAnsi="黑体" w:eastAsia="黑体" w:cs="黑体"/>
          <w:b w:val="0"/>
          <w:color w:val="000000" w:themeColor="text1"/>
          <w14:textFill>
            <w14:solidFill>
              <w14:schemeClr w14:val="tx1"/>
            </w14:solidFill>
          </w14:textFill>
        </w:rPr>
        <w:t>入支出决算总体情况说明</w:t>
      </w:r>
      <w:bookmarkEnd w:id="22"/>
      <w:bookmarkEnd w:id="23"/>
      <w:bookmarkEnd w:id="24"/>
    </w:p>
    <w:p w14:paraId="221DD62E">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2025年度收入26,175.22万元，与2024年度收入7,582.75万元相比，增加18,592.47万元，增长245.2%。</w:t>
      </w:r>
    </w:p>
    <w:p w14:paraId="30F62A14">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2025年度支出总计为26,175.22万元，与2024年度支出7,582.75万元相比，增加18,592.47万元，增长245.2%。主要变动原因是2025年其他收入-成昆铁路扩能改造米攀段征地拆迁经费增加，导致部门收入较上年增长；因支付成昆铁路扩能改造米攀段征地拆迁经费，导致部门支出较上年增加。</w:t>
      </w:r>
    </w:p>
    <w:p w14:paraId="41EA2CCB">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（图1：收入、支出决算总计变动情况图）</w:t>
      </w:r>
    </w:p>
    <w:p w14:paraId="2B2B64CC">
      <w:pPr>
        <w:rPr>
          <w:color w:val="000000" w:themeColor="text1"/>
          <w14:textFill>
            <w14:solidFill>
              <w14:schemeClr w14:val="tx1"/>
            </w14:solidFill>
          </w14:textFill>
        </w:rPr>
      </w:pPr>
      <w:r>
        <w:rPr>
          <w:rFonts w:hint="eastAsia"/>
          <w:color w:val="000000" w:themeColor="text1"/>
          <w14:textFill>
            <w14:solidFill>
              <w14:schemeClr w14:val="tx1"/>
            </w14:solidFill>
          </w14:textFill>
        </w:rPr>
        <w:drawing>
          <wp:inline distT="0" distB="0" distL="114300" distR="114300">
            <wp:extent cx="5270500" cy="3253740"/>
            <wp:effectExtent l="0" t="0" r="6350" b="3810"/>
            <wp:docPr id="13" name="图片 13" descr="图1：收入支出决算总计变动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图1：收入支出决算总计变动图"/>
                    <pic:cNvPicPr>
                      <a:picLocks noChangeAspect="1"/>
                    </pic:cNvPicPr>
                  </pic:nvPicPr>
                  <pic:blipFill>
                    <a:blip r:embed="rId7"/>
                    <a:stretch>
                      <a:fillRect/>
                    </a:stretch>
                  </pic:blipFill>
                  <pic:spPr>
                    <a:xfrm>
                      <a:off x="0" y="0"/>
                      <a:ext cx="5270500" cy="3253740"/>
                    </a:xfrm>
                    <a:prstGeom prst="rect">
                      <a:avLst/>
                    </a:prstGeom>
                  </pic:spPr>
                </pic:pic>
              </a:graphicData>
            </a:graphic>
          </wp:inline>
        </w:drawing>
      </w:r>
    </w:p>
    <w:p w14:paraId="64A05282">
      <w:pPr>
        <w:pStyle w:val="28"/>
        <w:keepNext w:val="0"/>
        <w:keepLines w:val="0"/>
        <w:pageBreakBefore w:val="0"/>
        <w:widowControl w:val="0"/>
        <w:kinsoku/>
        <w:wordWrap/>
        <w:overflowPunct/>
        <w:topLinePunct w:val="0"/>
        <w:autoSpaceDE/>
        <w:autoSpaceDN/>
        <w:bidi w:val="0"/>
        <w:adjustRightInd/>
        <w:snapToGrid/>
        <w:spacing w:line="600" w:lineRule="exact"/>
        <w:ind w:firstLine="640"/>
        <w:textAlignment w:val="auto"/>
        <w:outlineLvl w:val="1"/>
        <w:rPr>
          <w:rFonts w:eastAsia="黑体"/>
          <w:color w:val="000000" w:themeColor="text1"/>
          <w:sz w:val="32"/>
          <w:szCs w:val="32"/>
          <w14:textFill>
            <w14:solidFill>
              <w14:schemeClr w14:val="tx1"/>
            </w14:solidFill>
          </w14:textFill>
        </w:rPr>
      </w:pPr>
      <w:bookmarkStart w:id="25" w:name="_Toc15377206"/>
      <w:bookmarkStart w:id="26" w:name="_Toc15396604"/>
      <w:bookmarkStart w:id="27" w:name="_Toc7348"/>
      <w:r>
        <w:rPr>
          <w:rFonts w:hint="eastAsia" w:eastAsia="黑体"/>
          <w:color w:val="000000" w:themeColor="text1"/>
          <w:sz w:val="32"/>
          <w:szCs w:val="32"/>
          <w14:textFill>
            <w14:solidFill>
              <w14:schemeClr w14:val="tx1"/>
            </w14:solidFill>
          </w14:textFill>
        </w:rPr>
        <w:t>二、收入决算情况说明</w:t>
      </w:r>
      <w:bookmarkEnd w:id="25"/>
      <w:bookmarkEnd w:id="26"/>
      <w:bookmarkEnd w:id="27"/>
    </w:p>
    <w:p w14:paraId="525D236F">
      <w:pPr>
        <w:pStyle w:val="35"/>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仿宋_GB2312"/>
          <w:color w:val="000000" w:themeColor="text1"/>
          <w:kern w:val="2"/>
          <w:sz w:val="32"/>
          <w:szCs w:val="32"/>
          <w:lang w:val="en-US"/>
          <w14:textFill>
            <w14:solidFill>
              <w14:schemeClr w14:val="tx1"/>
            </w14:solidFill>
          </w14:textFill>
        </w:rPr>
      </w:pPr>
      <w:r>
        <w:rPr>
          <w:rFonts w:hint="eastAsia" w:ascii="Times New Roman" w:hAnsi="Times New Roman" w:eastAsia="仿宋_GB2312" w:cs="仿宋_GB2312"/>
          <w:color w:val="000000" w:themeColor="text1"/>
          <w:kern w:val="2"/>
          <w:sz w:val="32"/>
          <w:szCs w:val="32"/>
          <w:lang w:val="en-US"/>
          <w14:textFill>
            <w14:solidFill>
              <w14:schemeClr w14:val="tx1"/>
            </w14:solidFill>
          </w14:textFill>
        </w:rPr>
        <w:t>2025年度本年收入合计25,844.28万元，其中：一般公共预算财政拨款收入3,422.91万元，占13.2%；政府性基金预算财政拨款收入219.06万元，占0.9%；国有资本经营预算财政拨款收入0万元，占0%；上级补助收入0万元，占0%；事业收入0万元，占0%；经营收入0万元，占0%；附属单位上缴收入0万元，占0%；其他收入22,202.31万元，占85.9%。</w:t>
      </w:r>
    </w:p>
    <w:p w14:paraId="32DC8ADE">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Times New Roman" w:hAnsi="Times New Roman" w:eastAsia="仿宋_GB2312" w:cs="仿宋_GB2312"/>
          <w:color w:val="000000" w:themeColor="text1"/>
          <w:sz w:val="32"/>
          <w:szCs w:val="32"/>
          <w14:textFill>
            <w14:solidFill>
              <w14:schemeClr w14:val="tx1"/>
            </w14:solidFill>
          </w14:textFill>
        </w:rPr>
      </w:pPr>
      <w:r>
        <w:rPr>
          <w:rFonts w:hint="eastAsia" w:ascii="Times New Roman" w:hAnsi="Times New Roman" w:eastAsia="仿宋_GB2312" w:cs="仿宋_GB2312"/>
          <w:color w:val="000000" w:themeColor="text1"/>
          <w:sz w:val="32"/>
          <w:szCs w:val="32"/>
          <w14:textFill>
            <w14:solidFill>
              <w14:schemeClr w14:val="tx1"/>
            </w14:solidFill>
          </w14:textFill>
        </w:rPr>
        <w:t>（图2：收入决算结构图）</w:t>
      </w:r>
    </w:p>
    <w:p w14:paraId="5BF719EC">
      <w:pPr>
        <w:rPr>
          <w:rFonts w:eastAsia="仿宋_GB2312" w:cs="仿宋_GB2312"/>
          <w:color w:val="000000" w:themeColor="text1"/>
          <w:sz w:val="32"/>
          <w:szCs w:val="32"/>
          <w14:textFill>
            <w14:solidFill>
              <w14:schemeClr w14:val="tx1"/>
            </w14:solidFill>
          </w14:textFill>
        </w:rPr>
      </w:pPr>
      <w:r>
        <w:rPr>
          <w:rFonts w:hint="eastAsia" w:eastAsia="仿宋_GB2312" w:cs="仿宋_GB2312"/>
          <w:color w:val="000000" w:themeColor="text1"/>
          <w:sz w:val="32"/>
          <w:szCs w:val="32"/>
          <w14:textFill>
            <w14:solidFill>
              <w14:schemeClr w14:val="tx1"/>
            </w14:solidFill>
          </w14:textFill>
        </w:rPr>
        <w:drawing>
          <wp:inline distT="0" distB="0" distL="114300" distR="114300">
            <wp:extent cx="5270500" cy="3253740"/>
            <wp:effectExtent l="0" t="0" r="6350" b="3810"/>
            <wp:docPr id="2" name="图片 2" descr="图2：收入决算结构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图2：收入决算结构图"/>
                    <pic:cNvPicPr>
                      <a:picLocks noChangeAspect="1"/>
                    </pic:cNvPicPr>
                  </pic:nvPicPr>
                  <pic:blipFill>
                    <a:blip r:embed="rId8"/>
                    <a:stretch>
                      <a:fillRect/>
                    </a:stretch>
                  </pic:blipFill>
                  <pic:spPr>
                    <a:xfrm>
                      <a:off x="0" y="0"/>
                      <a:ext cx="5270500" cy="3253740"/>
                    </a:xfrm>
                    <a:prstGeom prst="rect">
                      <a:avLst/>
                    </a:prstGeom>
                  </pic:spPr>
                </pic:pic>
              </a:graphicData>
            </a:graphic>
          </wp:inline>
        </w:drawing>
      </w:r>
    </w:p>
    <w:p w14:paraId="3890B495">
      <w:pPr>
        <w:pStyle w:val="28"/>
        <w:spacing w:line="600" w:lineRule="exact"/>
        <w:ind w:firstLine="640"/>
        <w:outlineLvl w:val="1"/>
        <w:rPr>
          <w:rStyle w:val="30"/>
          <w:rFonts w:ascii="Times New Roman" w:hAnsi="Times New Roman" w:eastAsia="黑体"/>
          <w:b w:val="0"/>
          <w:color w:val="000000" w:themeColor="text1"/>
          <w14:textFill>
            <w14:solidFill>
              <w14:schemeClr w14:val="tx1"/>
            </w14:solidFill>
          </w14:textFill>
        </w:rPr>
      </w:pPr>
      <w:bookmarkStart w:id="28" w:name="_Toc15377207"/>
      <w:bookmarkStart w:id="29" w:name="_Toc15396605"/>
      <w:bookmarkStart w:id="30" w:name="_Toc32064"/>
      <w:r>
        <w:rPr>
          <w:rFonts w:hint="eastAsia" w:eastAsia="黑体"/>
          <w:color w:val="000000" w:themeColor="text1"/>
          <w:sz w:val="32"/>
          <w:szCs w:val="32"/>
          <w14:textFill>
            <w14:solidFill>
              <w14:schemeClr w14:val="tx1"/>
            </w14:solidFill>
          </w14:textFill>
        </w:rPr>
        <w:t>三、支</w:t>
      </w:r>
      <w:r>
        <w:rPr>
          <w:rStyle w:val="30"/>
          <w:rFonts w:hint="eastAsia" w:ascii="Times New Roman" w:hAnsi="Times New Roman" w:eastAsia="黑体"/>
          <w:b w:val="0"/>
          <w:color w:val="000000" w:themeColor="text1"/>
          <w14:textFill>
            <w14:solidFill>
              <w14:schemeClr w14:val="tx1"/>
            </w14:solidFill>
          </w14:textFill>
        </w:rPr>
        <w:t>出决算情况说明</w:t>
      </w:r>
      <w:bookmarkEnd w:id="28"/>
      <w:bookmarkEnd w:id="29"/>
      <w:bookmarkEnd w:id="30"/>
    </w:p>
    <w:p w14:paraId="1159B79B">
      <w:pPr>
        <w:ind w:firstLine="640" w:firstLineChars="200"/>
        <w:rPr>
          <w:rFonts w:hint="eastAsia" w:ascii="Times New Roman" w:hAnsi="Times New Roman" w:eastAsia="仿宋_GB2312" w:cs="仿宋_GB2312"/>
          <w:color w:val="000000" w:themeColor="text1"/>
          <w:kern w:val="2"/>
          <w:sz w:val="32"/>
          <w:szCs w:val="32"/>
          <w:lang w:val="en-US" w:eastAsia="zh-CN" w:bidi="ar-SA"/>
          <w14:textFill>
            <w14:solidFill>
              <w14:schemeClr w14:val="tx1"/>
            </w14:solidFill>
          </w14:textFill>
        </w:rPr>
      </w:pPr>
      <w:r>
        <w:rPr>
          <w:rFonts w:hint="eastAsia" w:ascii="Times New Roman" w:hAnsi="Times New Roman" w:eastAsia="仿宋_GB2312" w:cs="仿宋_GB2312"/>
          <w:color w:val="000000" w:themeColor="text1"/>
          <w:kern w:val="2"/>
          <w:sz w:val="32"/>
          <w:szCs w:val="32"/>
          <w:lang w:val="en-US" w:eastAsia="zh-CN" w:bidi="ar-SA"/>
          <w14:textFill>
            <w14:solidFill>
              <w14:schemeClr w14:val="tx1"/>
            </w14:solidFill>
          </w14:textFill>
        </w:rPr>
        <w:t>2025年度本年支出合计19,284.19万元，其中：基本支出2,939.88万元，占15.3%；项目支出16,344.31万元，占84.7%；上缴上级支出0万元，占0%；经营支出0万元，占0%；对附属单位补助支出0万元，占0%。</w:t>
      </w:r>
    </w:p>
    <w:p w14:paraId="13CD144F">
      <w:pPr>
        <w:jc w:val="center"/>
        <w:rPr>
          <w:rFonts w:hint="eastAsia" w:ascii="Times New Roman" w:hAnsi="Times New Roman" w:eastAsia="仿宋_GB2312" w:cs="仿宋_GB2312"/>
          <w:color w:val="000000" w:themeColor="text1"/>
          <w:kern w:val="2"/>
          <w:sz w:val="32"/>
          <w:szCs w:val="32"/>
          <w:lang w:val="en-US" w:eastAsia="zh-CN" w:bidi="ar-SA"/>
          <w14:textFill>
            <w14:solidFill>
              <w14:schemeClr w14:val="tx1"/>
            </w14:solidFill>
          </w14:textFill>
        </w:rPr>
      </w:pPr>
      <w:r>
        <w:rPr>
          <w:rFonts w:hint="eastAsia" w:ascii="Times New Roman" w:hAnsi="Times New Roman" w:eastAsia="仿宋_GB2312" w:cs="仿宋_GB2312"/>
          <w:color w:val="000000" w:themeColor="text1"/>
          <w:kern w:val="2"/>
          <w:sz w:val="32"/>
          <w:szCs w:val="32"/>
          <w:lang w:val="en-US" w:eastAsia="zh-CN" w:bidi="ar-SA"/>
          <w14:textFill>
            <w14:solidFill>
              <w14:schemeClr w14:val="tx1"/>
            </w14:solidFill>
          </w14:textFill>
        </w:rPr>
        <w:t>（图3：支出决算结构图）</w:t>
      </w:r>
    </w:p>
    <w:p w14:paraId="46AC525A">
      <w:pPr>
        <w:rPr>
          <w:rFonts w:eastAsia="仿宋_GB2312" w:cs="仿宋_GB2312"/>
          <w:color w:val="000000" w:themeColor="text1"/>
          <w:sz w:val="32"/>
          <w:szCs w:val="32"/>
          <w14:textFill>
            <w14:solidFill>
              <w14:schemeClr w14:val="tx1"/>
            </w14:solidFill>
          </w14:textFill>
        </w:rPr>
      </w:pPr>
      <w:r>
        <w:rPr>
          <w:rFonts w:hint="eastAsia" w:eastAsia="仿宋_GB2312" w:cs="仿宋_GB2312"/>
          <w:color w:val="000000" w:themeColor="text1"/>
          <w:sz w:val="32"/>
          <w:szCs w:val="32"/>
          <w14:textFill>
            <w14:solidFill>
              <w14:schemeClr w14:val="tx1"/>
            </w14:solidFill>
          </w14:textFill>
        </w:rPr>
        <w:drawing>
          <wp:inline distT="0" distB="0" distL="114300" distR="114300">
            <wp:extent cx="4899025" cy="2997200"/>
            <wp:effectExtent l="0" t="0" r="15875" b="12700"/>
            <wp:docPr id="3" name="图片 3" descr="图3：支出决算结构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图3：支出决算结构图"/>
                    <pic:cNvPicPr>
                      <a:picLocks noChangeAspect="1"/>
                    </pic:cNvPicPr>
                  </pic:nvPicPr>
                  <pic:blipFill>
                    <a:blip r:embed="rId9"/>
                    <a:stretch>
                      <a:fillRect/>
                    </a:stretch>
                  </pic:blipFill>
                  <pic:spPr>
                    <a:xfrm>
                      <a:off x="0" y="0"/>
                      <a:ext cx="4899025" cy="2997200"/>
                    </a:xfrm>
                    <a:prstGeom prst="rect">
                      <a:avLst/>
                    </a:prstGeom>
                  </pic:spPr>
                </pic:pic>
              </a:graphicData>
            </a:graphic>
          </wp:inline>
        </w:drawing>
      </w:r>
    </w:p>
    <w:p w14:paraId="66F84B22">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1"/>
        <w:rPr>
          <w:rStyle w:val="30"/>
          <w:rFonts w:ascii="Times New Roman" w:hAnsi="Times New Roman" w:eastAsia="黑体"/>
          <w:b w:val="0"/>
          <w:color w:val="000000" w:themeColor="text1"/>
          <w14:textFill>
            <w14:solidFill>
              <w14:schemeClr w14:val="tx1"/>
            </w14:solidFill>
          </w14:textFill>
        </w:rPr>
      </w:pPr>
      <w:bookmarkStart w:id="31" w:name="_Toc15383"/>
      <w:bookmarkStart w:id="32" w:name="_Toc15377208"/>
      <w:bookmarkStart w:id="33" w:name="_Toc15396606"/>
      <w:r>
        <w:rPr>
          <w:rFonts w:hint="eastAsia" w:eastAsia="黑体"/>
          <w:color w:val="000000" w:themeColor="text1"/>
          <w:sz w:val="32"/>
          <w:szCs w:val="32"/>
          <w14:textFill>
            <w14:solidFill>
              <w14:schemeClr w14:val="tx1"/>
            </w14:solidFill>
          </w14:textFill>
        </w:rPr>
        <w:t>四、财</w:t>
      </w:r>
      <w:r>
        <w:rPr>
          <w:rStyle w:val="30"/>
          <w:rFonts w:hint="eastAsia" w:ascii="Times New Roman" w:hAnsi="Times New Roman" w:eastAsia="黑体"/>
          <w:b w:val="0"/>
          <w:color w:val="000000" w:themeColor="text1"/>
          <w14:textFill>
            <w14:solidFill>
              <w14:schemeClr w14:val="tx1"/>
            </w14:solidFill>
          </w14:textFill>
        </w:rPr>
        <w:t>政拨款收入支出决算总体情况说明</w:t>
      </w:r>
      <w:bookmarkEnd w:id="31"/>
      <w:bookmarkEnd w:id="32"/>
      <w:bookmarkEnd w:id="33"/>
    </w:p>
    <w:p w14:paraId="5DB4DA7D">
      <w:pPr>
        <w:ind w:firstLine="640" w:firstLineChars="200"/>
        <w:rPr>
          <w:rFonts w:hint="eastAsia" w:ascii="Times New Roman" w:hAnsi="Times New Roman" w:eastAsia="仿宋_GB2312" w:cs="仿宋_GB2312"/>
          <w:color w:val="000000" w:themeColor="text1"/>
          <w:kern w:val="2"/>
          <w:sz w:val="32"/>
          <w:szCs w:val="32"/>
          <w:lang w:val="en-US" w:eastAsia="zh-CN" w:bidi="ar-SA"/>
          <w14:textFill>
            <w14:solidFill>
              <w14:schemeClr w14:val="tx1"/>
            </w14:solidFill>
          </w14:textFill>
        </w:rPr>
      </w:pPr>
      <w:r>
        <w:rPr>
          <w:rFonts w:hint="eastAsia" w:ascii="Times New Roman" w:hAnsi="Times New Roman" w:eastAsia="仿宋_GB2312" w:cs="仿宋_GB2312"/>
          <w:color w:val="000000" w:themeColor="text1"/>
          <w:kern w:val="2"/>
          <w:sz w:val="32"/>
          <w:szCs w:val="32"/>
          <w:lang w:val="en-US" w:eastAsia="zh-CN" w:bidi="ar-SA"/>
          <w14:textFill>
            <w14:solidFill>
              <w14:schemeClr w14:val="tx1"/>
            </w14:solidFill>
          </w14:textFill>
        </w:rPr>
        <w:t>2025年度财政拨款收入、支出总计均为3,641.97万元。与2024年度3,172.65万元相比，财政拨款收入总计、支出总计各增加469.32万元，增长14.8%。主要变动原因是攀枝花市大数据中心人员编制划入，经费支出增加。</w:t>
      </w:r>
    </w:p>
    <w:p w14:paraId="41422A5C">
      <w:pPr>
        <w:ind w:left="0" w:leftChars="0" w:firstLine="0" w:firstLineChars="0"/>
        <w:jc w:val="center"/>
        <w:rPr>
          <w:rFonts w:hint="eastAsia" w:ascii="Times New Roman" w:hAnsi="Times New Roman" w:eastAsia="仿宋_GB2312" w:cs="仿宋_GB2312"/>
          <w:color w:val="000000" w:themeColor="text1"/>
          <w:kern w:val="2"/>
          <w:sz w:val="32"/>
          <w:szCs w:val="32"/>
          <w:lang w:val="en-US" w:eastAsia="zh-CN" w:bidi="ar-SA"/>
          <w14:textFill>
            <w14:solidFill>
              <w14:schemeClr w14:val="tx1"/>
            </w14:solidFill>
          </w14:textFill>
        </w:rPr>
      </w:pPr>
      <w:r>
        <w:rPr>
          <w:rFonts w:hint="eastAsia" w:ascii="Times New Roman" w:hAnsi="Times New Roman" w:eastAsia="仿宋_GB2312" w:cs="仿宋_GB2312"/>
          <w:color w:val="000000" w:themeColor="text1"/>
          <w:kern w:val="2"/>
          <w:sz w:val="32"/>
          <w:szCs w:val="32"/>
          <w:lang w:val="en-US" w:eastAsia="zh-CN" w:bidi="ar-SA"/>
          <w14:textFill>
            <w14:solidFill>
              <w14:schemeClr w14:val="tx1"/>
            </w14:solidFill>
          </w14:textFill>
        </w:rPr>
        <w:t>（图4：财政拨款收、支决算总计变动情况）</w:t>
      </w:r>
    </w:p>
    <w:p w14:paraId="1E1F6E56">
      <w:pPr>
        <w:rPr>
          <w:rFonts w:eastAsia="仿宋_GB2312" w:cs="仿宋_GB2312"/>
          <w:color w:val="000000" w:themeColor="text1"/>
          <w:sz w:val="32"/>
          <w:szCs w:val="32"/>
          <w14:textFill>
            <w14:solidFill>
              <w14:schemeClr w14:val="tx1"/>
            </w14:solidFill>
          </w14:textFill>
        </w:rPr>
      </w:pPr>
      <w:r>
        <w:rPr>
          <w:rFonts w:hint="eastAsia" w:eastAsia="仿宋_GB2312" w:cs="仿宋_GB2312"/>
          <w:color w:val="000000" w:themeColor="text1"/>
          <w:sz w:val="32"/>
          <w:szCs w:val="32"/>
          <w14:textFill>
            <w14:solidFill>
              <w14:schemeClr w14:val="tx1"/>
            </w14:solidFill>
          </w14:textFill>
        </w:rPr>
        <w:drawing>
          <wp:inline distT="0" distB="0" distL="114300" distR="114300">
            <wp:extent cx="5090160" cy="2987675"/>
            <wp:effectExtent l="0" t="0" r="15240" b="3175"/>
            <wp:docPr id="4" name="图片 4" descr="图4：财政拨款收支决算变动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图4：财政拨款收支决算变动图"/>
                    <pic:cNvPicPr>
                      <a:picLocks noChangeAspect="1"/>
                    </pic:cNvPicPr>
                  </pic:nvPicPr>
                  <pic:blipFill>
                    <a:blip r:embed="rId10"/>
                    <a:stretch>
                      <a:fillRect/>
                    </a:stretch>
                  </pic:blipFill>
                  <pic:spPr>
                    <a:xfrm>
                      <a:off x="0" y="0"/>
                      <a:ext cx="5090160" cy="2987675"/>
                    </a:xfrm>
                    <a:prstGeom prst="rect">
                      <a:avLst/>
                    </a:prstGeom>
                  </pic:spPr>
                </pic:pic>
              </a:graphicData>
            </a:graphic>
          </wp:inline>
        </w:drawing>
      </w:r>
    </w:p>
    <w:p w14:paraId="175C313B">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1"/>
        <w:rPr>
          <w:rStyle w:val="30"/>
          <w:rFonts w:hint="eastAsia" w:ascii="黑体" w:hAnsi="黑体" w:eastAsia="黑体" w:cs="黑体"/>
          <w:b w:val="0"/>
          <w:color w:val="000000" w:themeColor="text1"/>
          <w:sz w:val="32"/>
          <w14:textFill>
            <w14:solidFill>
              <w14:schemeClr w14:val="tx1"/>
            </w14:solidFill>
          </w14:textFill>
        </w:rPr>
      </w:pPr>
      <w:bookmarkStart w:id="34" w:name="_Toc15396607"/>
      <w:bookmarkStart w:id="35" w:name="_Toc15377209"/>
      <w:bookmarkStart w:id="36" w:name="_Toc3278"/>
      <w:r>
        <w:rPr>
          <w:rFonts w:hint="eastAsia" w:ascii="黑体" w:hAnsi="黑体" w:eastAsia="黑体" w:cs="黑体"/>
          <w:color w:val="000000" w:themeColor="text1"/>
          <w:sz w:val="32"/>
          <w:szCs w:val="32"/>
          <w14:textFill>
            <w14:solidFill>
              <w14:schemeClr w14:val="tx1"/>
            </w14:solidFill>
          </w14:textFill>
        </w:rPr>
        <w:t>五、</w:t>
      </w:r>
      <w:r>
        <w:rPr>
          <w:rFonts w:hint="eastAsia" w:ascii="黑体" w:hAnsi="黑体" w:eastAsia="黑体" w:cs="黑体"/>
          <w:b/>
          <w:color w:val="000000" w:themeColor="text1"/>
          <w:sz w:val="32"/>
          <w:szCs w:val="32"/>
          <w14:textFill>
            <w14:solidFill>
              <w14:schemeClr w14:val="tx1"/>
            </w14:solidFill>
          </w14:textFill>
        </w:rPr>
        <w:t>一</w:t>
      </w:r>
      <w:r>
        <w:rPr>
          <w:rStyle w:val="30"/>
          <w:rFonts w:hint="eastAsia" w:ascii="黑体" w:hAnsi="黑体" w:eastAsia="黑体" w:cs="黑体"/>
          <w:b w:val="0"/>
          <w:color w:val="000000" w:themeColor="text1"/>
          <w:sz w:val="32"/>
          <w14:textFill>
            <w14:solidFill>
              <w14:schemeClr w14:val="tx1"/>
            </w14:solidFill>
          </w14:textFill>
        </w:rPr>
        <w:t>般公共预算财政拨款支出决算情况说明</w:t>
      </w:r>
      <w:bookmarkEnd w:id="34"/>
      <w:bookmarkEnd w:id="35"/>
      <w:bookmarkEnd w:id="36"/>
    </w:p>
    <w:p w14:paraId="28B2FD5E">
      <w:pPr>
        <w:spacing w:line="600" w:lineRule="exact"/>
        <w:ind w:firstLine="643" w:firstLineChars="200"/>
        <w:outlineLvl w:val="2"/>
        <w:rPr>
          <w:rFonts w:hint="eastAsia" w:eastAsia="楷体_GB2312" w:cs="楷体_GB2312"/>
          <w:b/>
          <w:color w:val="000000" w:themeColor="text1"/>
          <w:sz w:val="32"/>
          <w:szCs w:val="32"/>
          <w14:textFill>
            <w14:solidFill>
              <w14:schemeClr w14:val="tx1"/>
            </w14:solidFill>
          </w14:textFill>
        </w:rPr>
      </w:pPr>
      <w:bookmarkStart w:id="37" w:name="_Toc15377210"/>
      <w:r>
        <w:rPr>
          <w:rFonts w:hint="eastAsia" w:eastAsia="楷体_GB2312" w:cs="楷体_GB2312"/>
          <w:b/>
          <w:color w:val="000000" w:themeColor="text1"/>
          <w:sz w:val="32"/>
          <w:szCs w:val="32"/>
          <w14:textFill>
            <w14:solidFill>
              <w14:schemeClr w14:val="tx1"/>
            </w14:solidFill>
          </w14:textFill>
        </w:rPr>
        <w:t>（一）一般公共预算财政拨款支出决算总体情况</w:t>
      </w:r>
      <w:bookmarkEnd w:id="37"/>
    </w:p>
    <w:p w14:paraId="7088BB66">
      <w:pPr>
        <w:keepNext w:val="0"/>
        <w:keepLines w:val="0"/>
        <w:pageBreakBefore w:val="0"/>
        <w:widowControl w:val="0"/>
        <w:kinsoku/>
        <w:wordWrap/>
        <w:overflowPunct/>
        <w:topLinePunct w:val="0"/>
        <w:autoSpaceDE/>
        <w:autoSpaceDN/>
        <w:bidi w:val="0"/>
        <w:adjustRightInd/>
        <w:snapToGrid/>
        <w:spacing w:line="600" w:lineRule="exact"/>
        <w:ind w:firstLine="640"/>
        <w:jc w:val="both"/>
        <w:textAlignment w:val="auto"/>
        <w:rPr>
          <w:rFonts w:hint="eastAsia" w:ascii="Times New Roman" w:hAnsi="Times New Roman" w:eastAsia="仿宋_GB2312" w:cs="仿宋_GB2312"/>
          <w:color w:val="000000" w:themeColor="text1"/>
          <w:sz w:val="32"/>
          <w:szCs w:val="32"/>
          <w14:textFill>
            <w14:solidFill>
              <w14:schemeClr w14:val="tx1"/>
            </w14:solidFill>
          </w14:textFill>
        </w:rPr>
      </w:pPr>
      <w:r>
        <w:rPr>
          <w:rFonts w:hint="eastAsia" w:ascii="Times New Roman" w:hAnsi="Times New Roman" w:eastAsia="仿宋_GB2312" w:cs="仿宋_GB2312"/>
          <w:color w:val="000000" w:themeColor="text1"/>
          <w:sz w:val="32"/>
          <w:szCs w:val="32"/>
          <w14:textFill>
            <w14:solidFill>
              <w14:schemeClr w14:val="tx1"/>
            </w14:solidFill>
          </w14:textFill>
        </w:rPr>
        <w:t>2025年度一般公共预算财政拨款支出3,422.91万元，占本年支出合计19,284.19万元的17.7%。与2024年度3,132.2万元相比，一般公共预算财政拨款支出增加290.71万元，增长9.3%。主要变动原因是基本支出较上年增加366.77万元，项目支出较上年减少76.06万元。</w:t>
      </w:r>
    </w:p>
    <w:p w14:paraId="47F47D4C">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Times New Roman" w:hAnsi="Times New Roman" w:eastAsia="仿宋_GB2312" w:cs="仿宋_GB2312"/>
          <w:color w:val="000000" w:themeColor="text1"/>
          <w:sz w:val="32"/>
          <w:szCs w:val="32"/>
          <w14:textFill>
            <w14:solidFill>
              <w14:schemeClr w14:val="tx1"/>
            </w14:solidFill>
          </w14:textFill>
        </w:rPr>
      </w:pPr>
      <w:r>
        <w:rPr>
          <w:rFonts w:hint="eastAsia" w:ascii="Times New Roman" w:hAnsi="Times New Roman" w:eastAsia="仿宋_GB2312" w:cs="仿宋_GB2312"/>
          <w:color w:val="000000" w:themeColor="text1"/>
          <w:sz w:val="32"/>
          <w:szCs w:val="32"/>
          <w14:textFill>
            <w14:solidFill>
              <w14:schemeClr w14:val="tx1"/>
            </w14:solidFill>
          </w14:textFill>
        </w:rPr>
        <w:t>（图5：一般公共预算财政拨款支出决算变动情况）</w:t>
      </w:r>
    </w:p>
    <w:p w14:paraId="25DB5A58">
      <w:pPr>
        <w:jc w:val="center"/>
        <w:rPr>
          <w:rFonts w:eastAsia="仿宋_GB2312" w:cs="仿宋_GB2312"/>
          <w:color w:val="000000" w:themeColor="text1"/>
          <w:sz w:val="32"/>
          <w:szCs w:val="32"/>
          <w14:textFill>
            <w14:solidFill>
              <w14:schemeClr w14:val="tx1"/>
            </w14:solidFill>
          </w14:textFill>
        </w:rPr>
      </w:pPr>
      <w:r>
        <w:rPr>
          <w:rFonts w:hint="eastAsia" w:eastAsia="仿宋_GB2312" w:cs="仿宋_GB2312"/>
          <w:color w:val="000000" w:themeColor="text1"/>
          <w:sz w:val="32"/>
          <w:szCs w:val="32"/>
          <w14:textFill>
            <w14:solidFill>
              <w14:schemeClr w14:val="tx1"/>
            </w14:solidFill>
          </w14:textFill>
        </w:rPr>
        <w:drawing>
          <wp:inline distT="0" distB="0" distL="114300" distR="114300">
            <wp:extent cx="5270500" cy="3253740"/>
            <wp:effectExtent l="0" t="0" r="6350" b="3810"/>
            <wp:docPr id="5" name="图片 5" descr="图5：一般公共预算财政拨款支出决算变动情况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图5：一般公共预算财政拨款支出决算变动情况图"/>
                    <pic:cNvPicPr>
                      <a:picLocks noChangeAspect="1"/>
                    </pic:cNvPicPr>
                  </pic:nvPicPr>
                  <pic:blipFill>
                    <a:blip r:embed="rId11"/>
                    <a:stretch>
                      <a:fillRect/>
                    </a:stretch>
                  </pic:blipFill>
                  <pic:spPr>
                    <a:xfrm>
                      <a:off x="0" y="0"/>
                      <a:ext cx="5270500" cy="3253740"/>
                    </a:xfrm>
                    <a:prstGeom prst="rect">
                      <a:avLst/>
                    </a:prstGeom>
                  </pic:spPr>
                </pic:pic>
              </a:graphicData>
            </a:graphic>
          </wp:inline>
        </w:drawing>
      </w:r>
    </w:p>
    <w:p w14:paraId="0E518EE2">
      <w:pPr>
        <w:keepNext w:val="0"/>
        <w:keepLines w:val="0"/>
        <w:pageBreakBefore w:val="0"/>
        <w:widowControl w:val="0"/>
        <w:kinsoku/>
        <w:wordWrap/>
        <w:overflowPunct/>
        <w:topLinePunct w:val="0"/>
        <w:autoSpaceDE/>
        <w:autoSpaceDN/>
        <w:bidi w:val="0"/>
        <w:adjustRightInd/>
        <w:snapToGrid/>
        <w:spacing w:line="600" w:lineRule="exact"/>
        <w:ind w:firstLine="643" w:firstLineChars="200"/>
        <w:jc w:val="both"/>
        <w:textAlignment w:val="auto"/>
        <w:outlineLvl w:val="2"/>
        <w:rPr>
          <w:rFonts w:eastAsia="楷体_GB2312" w:cs="楷体_GB2312"/>
          <w:b/>
          <w:color w:val="000000" w:themeColor="text1"/>
          <w:sz w:val="32"/>
          <w:szCs w:val="32"/>
          <w14:textFill>
            <w14:solidFill>
              <w14:schemeClr w14:val="tx1"/>
            </w14:solidFill>
          </w14:textFill>
        </w:rPr>
      </w:pPr>
      <w:bookmarkStart w:id="38" w:name="_Toc15377211"/>
      <w:r>
        <w:rPr>
          <w:rFonts w:hint="eastAsia" w:eastAsia="楷体_GB2312" w:cs="楷体_GB2312"/>
          <w:b/>
          <w:color w:val="000000" w:themeColor="text1"/>
          <w:sz w:val="32"/>
          <w:szCs w:val="32"/>
          <w14:textFill>
            <w14:solidFill>
              <w14:schemeClr w14:val="tx1"/>
            </w14:solidFill>
          </w14:textFill>
        </w:rPr>
        <w:t>（二）一般公共预算财政拨款支出决算结构情况</w:t>
      </w:r>
      <w:bookmarkEnd w:id="38"/>
    </w:p>
    <w:p w14:paraId="451E73DC">
      <w:pPr>
        <w:keepNext w:val="0"/>
        <w:keepLines w:val="0"/>
        <w:pageBreakBefore w:val="0"/>
        <w:widowControl w:val="0"/>
        <w:kinsoku/>
        <w:wordWrap/>
        <w:overflowPunct/>
        <w:topLinePunct w:val="0"/>
        <w:autoSpaceDE/>
        <w:autoSpaceDN/>
        <w:bidi w:val="0"/>
        <w:adjustRightInd/>
        <w:snapToGrid/>
        <w:spacing w:line="600" w:lineRule="exact"/>
        <w:ind w:firstLine="640"/>
        <w:jc w:val="both"/>
        <w:textAlignment w:val="auto"/>
        <w:rPr>
          <w:rFonts w:hint="eastAsia" w:ascii="Times New Roman" w:hAnsi="Times New Roman" w:eastAsia="仿宋_GB2312" w:cs="仿宋_GB2312"/>
          <w:color w:val="000000" w:themeColor="text1"/>
          <w:sz w:val="32"/>
          <w:szCs w:val="32"/>
          <w14:textFill>
            <w14:solidFill>
              <w14:schemeClr w14:val="tx1"/>
            </w14:solidFill>
          </w14:textFill>
        </w:rPr>
      </w:pPr>
      <w:r>
        <w:rPr>
          <w:rFonts w:hint="eastAsia" w:ascii="Times New Roman" w:hAnsi="Times New Roman" w:eastAsia="仿宋_GB2312" w:cs="仿宋_GB2312"/>
          <w:color w:val="000000" w:themeColor="text1"/>
          <w:sz w:val="32"/>
          <w:szCs w:val="32"/>
          <w14:textFill>
            <w14:solidFill>
              <w14:schemeClr w14:val="tx1"/>
            </w14:solidFill>
          </w14:textFill>
        </w:rPr>
        <w:t xml:space="preserve">2025年度一般公共预算财政拨款支出3,422.91万元，主要用于以下方面：一般公共服务支出2,419.33万元，占70.7%；社会保障和就业支出673.73万元，占19.7%；卫生健康支出146.78万元，占4.3%；住房保障支出183.07万元，占5.3%。 </w:t>
      </w:r>
    </w:p>
    <w:p w14:paraId="32C2AEEF">
      <w:pPr>
        <w:spacing w:line="600" w:lineRule="exact"/>
        <w:ind w:firstLine="640"/>
        <w:jc w:val="center"/>
        <w:rPr>
          <w:rFonts w:eastAsia="仿宋_GB2312" w:cs="仿宋_GB2312"/>
          <w:color w:val="000000" w:themeColor="text1"/>
          <w:sz w:val="32"/>
          <w:szCs w:val="32"/>
          <w14:textFill>
            <w14:solidFill>
              <w14:schemeClr w14:val="tx1"/>
            </w14:solidFill>
          </w14:textFill>
        </w:rPr>
      </w:pPr>
    </w:p>
    <w:p w14:paraId="1AE1DF4B">
      <w:pPr>
        <w:spacing w:line="600" w:lineRule="exact"/>
        <w:jc w:val="center"/>
        <w:rPr>
          <w:rFonts w:eastAsia="仿宋_GB2312" w:cs="仿宋_GB2312"/>
          <w:color w:val="000000" w:themeColor="text1"/>
          <w:sz w:val="32"/>
          <w:szCs w:val="32"/>
          <w14:textFill>
            <w14:solidFill>
              <w14:schemeClr w14:val="tx1"/>
            </w14:solidFill>
          </w14:textFill>
        </w:rPr>
      </w:pPr>
      <w:r>
        <w:rPr>
          <w:rFonts w:hint="eastAsia" w:eastAsia="仿宋_GB2312" w:cs="仿宋_GB2312"/>
          <w:color w:val="000000" w:themeColor="text1"/>
          <w:sz w:val="32"/>
          <w:szCs w:val="32"/>
          <w14:textFill>
            <w14:solidFill>
              <w14:schemeClr w14:val="tx1"/>
            </w14:solidFill>
          </w14:textFill>
        </w:rPr>
        <w:t>（图6：一般公共预算财政拨款支出决算结构）</w:t>
      </w:r>
    </w:p>
    <w:p w14:paraId="0F2F69DB">
      <w:pPr>
        <w:outlineLvl w:val="2"/>
        <w:rPr>
          <w:rFonts w:eastAsia="楷体_GB2312" w:cs="楷体_GB2312"/>
          <w:b/>
          <w:color w:val="000000" w:themeColor="text1"/>
          <w:sz w:val="32"/>
          <w:szCs w:val="32"/>
          <w14:textFill>
            <w14:solidFill>
              <w14:schemeClr w14:val="tx1"/>
            </w14:solidFill>
          </w14:textFill>
        </w:rPr>
      </w:pPr>
      <w:bookmarkStart w:id="39" w:name="_Toc15377212"/>
      <w:r>
        <w:rPr>
          <w:rFonts w:hint="eastAsia" w:eastAsia="楷体_GB2312" w:cs="楷体_GB2312"/>
          <w:b/>
          <w:color w:val="000000" w:themeColor="text1"/>
          <w:sz w:val="32"/>
          <w:szCs w:val="32"/>
          <w14:textFill>
            <w14:solidFill>
              <w14:schemeClr w14:val="tx1"/>
            </w14:solidFill>
          </w14:textFill>
        </w:rPr>
        <w:drawing>
          <wp:inline distT="0" distB="0" distL="114300" distR="114300">
            <wp:extent cx="5270500" cy="3253740"/>
            <wp:effectExtent l="0" t="0" r="6350" b="3810"/>
            <wp:docPr id="7" name="图片 7" descr="图6：一般公共预算财政拨款支出决算结构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图6：一般公共预算财政拨款支出决算结构图"/>
                    <pic:cNvPicPr>
                      <a:picLocks noChangeAspect="1"/>
                    </pic:cNvPicPr>
                  </pic:nvPicPr>
                  <pic:blipFill>
                    <a:blip r:embed="rId12"/>
                    <a:stretch>
                      <a:fillRect/>
                    </a:stretch>
                  </pic:blipFill>
                  <pic:spPr>
                    <a:xfrm>
                      <a:off x="0" y="0"/>
                      <a:ext cx="5270500" cy="3253740"/>
                    </a:xfrm>
                    <a:prstGeom prst="rect">
                      <a:avLst/>
                    </a:prstGeom>
                  </pic:spPr>
                </pic:pic>
              </a:graphicData>
            </a:graphic>
          </wp:inline>
        </w:drawing>
      </w:r>
    </w:p>
    <w:p w14:paraId="38E7FB01">
      <w:pPr>
        <w:keepNext w:val="0"/>
        <w:keepLines w:val="0"/>
        <w:pageBreakBefore w:val="0"/>
        <w:widowControl w:val="0"/>
        <w:kinsoku/>
        <w:wordWrap/>
        <w:overflowPunct/>
        <w:topLinePunct w:val="0"/>
        <w:autoSpaceDE/>
        <w:autoSpaceDN/>
        <w:bidi w:val="0"/>
        <w:adjustRightInd/>
        <w:snapToGrid/>
        <w:spacing w:line="600" w:lineRule="exact"/>
        <w:ind w:firstLine="643" w:firstLineChars="200"/>
        <w:jc w:val="both"/>
        <w:textAlignment w:val="auto"/>
        <w:outlineLvl w:val="2"/>
        <w:rPr>
          <w:rFonts w:hint="eastAsia" w:eastAsia="楷体_GB2312" w:cs="楷体_GB2312"/>
          <w:b/>
          <w:color w:val="000000" w:themeColor="text1"/>
          <w:sz w:val="32"/>
          <w:szCs w:val="32"/>
          <w14:textFill>
            <w14:solidFill>
              <w14:schemeClr w14:val="tx1"/>
            </w14:solidFill>
          </w14:textFill>
        </w:rPr>
      </w:pPr>
      <w:r>
        <w:rPr>
          <w:rFonts w:hint="eastAsia" w:eastAsia="楷体_GB2312" w:cs="楷体_GB2312"/>
          <w:b/>
          <w:color w:val="000000" w:themeColor="text1"/>
          <w:sz w:val="32"/>
          <w:szCs w:val="32"/>
          <w14:textFill>
            <w14:solidFill>
              <w14:schemeClr w14:val="tx1"/>
            </w14:solidFill>
          </w14:textFill>
        </w:rPr>
        <w:t>（三）一般公共预算财政拨款支出决算具体情况</w:t>
      </w:r>
      <w:bookmarkEnd w:id="39"/>
    </w:p>
    <w:p w14:paraId="59129362">
      <w:pPr>
        <w:keepNext w:val="0"/>
        <w:keepLines w:val="0"/>
        <w:pageBreakBefore w:val="0"/>
        <w:widowControl w:val="0"/>
        <w:kinsoku/>
        <w:wordWrap/>
        <w:overflowPunct/>
        <w:topLinePunct w:val="0"/>
        <w:autoSpaceDE/>
        <w:autoSpaceDN/>
        <w:bidi w:val="0"/>
        <w:adjustRightInd/>
        <w:snapToGrid/>
        <w:spacing w:line="600" w:lineRule="exact"/>
        <w:ind w:firstLine="640"/>
        <w:textAlignment w:val="auto"/>
        <w:rPr>
          <w:rFonts w:hint="eastAsia" w:ascii="Times New Roman" w:hAnsi="Times New Roman" w:eastAsia="仿宋_GB2312" w:cs="仿宋_GB2312"/>
          <w:color w:val="000000" w:themeColor="text1"/>
          <w:sz w:val="32"/>
          <w:szCs w:val="32"/>
          <w14:textFill>
            <w14:solidFill>
              <w14:schemeClr w14:val="tx1"/>
            </w14:solidFill>
          </w14:textFill>
        </w:rPr>
      </w:pPr>
      <w:bookmarkStart w:id="40" w:name="_Toc15377213"/>
      <w:bookmarkStart w:id="41" w:name="_Toc15377444"/>
      <w:bookmarkStart w:id="42" w:name="_Toc15378460"/>
      <w:r>
        <w:rPr>
          <w:rFonts w:hint="eastAsia" w:ascii="Times New Roman" w:hAnsi="Times New Roman" w:eastAsia="仿宋_GB2312" w:cs="仿宋_GB2312"/>
          <w:color w:val="000000" w:themeColor="text1"/>
          <w:sz w:val="32"/>
          <w:szCs w:val="32"/>
          <w14:textFill>
            <w14:solidFill>
              <w14:schemeClr w14:val="tx1"/>
            </w14:solidFill>
          </w14:textFill>
        </w:rPr>
        <w:t>2025年度一般公共预算支出决算数为3,422.91万元，完成预算100%。其中：</w:t>
      </w:r>
      <w:bookmarkEnd w:id="40"/>
      <w:bookmarkEnd w:id="41"/>
      <w:bookmarkEnd w:id="42"/>
    </w:p>
    <w:p w14:paraId="0396922B">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仿宋_GB2312"/>
          <w:color w:val="000000" w:themeColor="text1"/>
          <w:sz w:val="32"/>
          <w:szCs w:val="32"/>
          <w14:textFill>
            <w14:solidFill>
              <w14:schemeClr w14:val="tx1"/>
            </w14:solidFill>
          </w14:textFill>
        </w:rPr>
      </w:pPr>
      <w:r>
        <w:rPr>
          <w:rFonts w:hint="eastAsia" w:ascii="Times New Roman" w:hAnsi="Times New Roman" w:eastAsia="仿宋_GB2312" w:cs="仿宋_GB2312"/>
          <w:color w:val="000000" w:themeColor="text1"/>
          <w:sz w:val="32"/>
          <w:szCs w:val="32"/>
          <w14:textFill>
            <w14:solidFill>
              <w14:schemeClr w14:val="tx1"/>
            </w14:solidFill>
          </w14:textFill>
        </w:rPr>
        <w:t>1.一般公共服务（类）发展与改革事务（款）：行政运行（项）支出决算为1,437.71万元，完成预算100%；一般行政管理事务（项）支出决算为44.42万元，完成预算100%；事业运行（项）支出决算为504.65万元，完成预算100%；其他发展与改革事务支出（项）支出决算为416.98万元，完成预算100%。</w:t>
      </w:r>
    </w:p>
    <w:p w14:paraId="6B49654D">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仿宋_GB2312"/>
          <w:color w:val="000000" w:themeColor="text1"/>
          <w:sz w:val="32"/>
          <w:szCs w:val="32"/>
          <w14:textFill>
            <w14:solidFill>
              <w14:schemeClr w14:val="tx1"/>
            </w14:solidFill>
          </w14:textFill>
        </w:rPr>
      </w:pPr>
      <w:r>
        <w:rPr>
          <w:rFonts w:hint="eastAsia" w:ascii="Times New Roman" w:hAnsi="Times New Roman" w:eastAsia="仿宋_GB2312" w:cs="仿宋_GB2312"/>
          <w:color w:val="000000" w:themeColor="text1"/>
          <w:sz w:val="32"/>
          <w:szCs w:val="32"/>
          <w14:textFill>
            <w14:solidFill>
              <w14:schemeClr w14:val="tx1"/>
            </w14:solidFill>
          </w14:textFill>
        </w:rPr>
        <w:t>2.一般公共服务（类）纪检监察事务（款）派驻派出机构（项）：支出决算为2.71万元，完成预算100%。</w:t>
      </w:r>
    </w:p>
    <w:p w14:paraId="651C4963">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仿宋_GB2312"/>
          <w:color w:val="000000" w:themeColor="text1"/>
          <w:sz w:val="32"/>
          <w:szCs w:val="32"/>
          <w14:textFill>
            <w14:solidFill>
              <w14:schemeClr w14:val="tx1"/>
            </w14:solidFill>
          </w14:textFill>
        </w:rPr>
      </w:pPr>
      <w:r>
        <w:rPr>
          <w:rFonts w:hint="eastAsia" w:ascii="Times New Roman" w:hAnsi="Times New Roman" w:eastAsia="仿宋_GB2312" w:cs="仿宋_GB2312"/>
          <w:color w:val="000000" w:themeColor="text1"/>
          <w:sz w:val="32"/>
          <w:szCs w:val="32"/>
          <w14:textFill>
            <w14:solidFill>
              <w14:schemeClr w14:val="tx1"/>
            </w14:solidFill>
          </w14:textFill>
        </w:rPr>
        <w:t>3.一般公共服务（类）商贸事务（款）招商引资（项）：支出决算为8万元，完成预算100%。</w:t>
      </w:r>
    </w:p>
    <w:p w14:paraId="754DE08F">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仿宋_GB2312"/>
          <w:color w:val="000000" w:themeColor="text1"/>
          <w:sz w:val="32"/>
          <w:szCs w:val="32"/>
          <w14:textFill>
            <w14:solidFill>
              <w14:schemeClr w14:val="tx1"/>
            </w14:solidFill>
          </w14:textFill>
        </w:rPr>
      </w:pPr>
      <w:r>
        <w:rPr>
          <w:rFonts w:hint="eastAsia" w:ascii="Times New Roman" w:hAnsi="Times New Roman" w:eastAsia="仿宋_GB2312" w:cs="仿宋_GB2312"/>
          <w:color w:val="000000" w:themeColor="text1"/>
          <w:sz w:val="32"/>
          <w:szCs w:val="32"/>
          <w14:textFill>
            <w14:solidFill>
              <w14:schemeClr w14:val="tx1"/>
            </w14:solidFill>
          </w14:textFill>
        </w:rPr>
        <w:t>4.一般公共服务（类）组织事务（款）其他组织事务支出（项）：支出决算为4.86万元，完成预算100%。</w:t>
      </w:r>
    </w:p>
    <w:p w14:paraId="25EA51FC">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仿宋_GB2312"/>
          <w:color w:val="000000" w:themeColor="text1"/>
          <w:sz w:val="32"/>
          <w:szCs w:val="32"/>
          <w14:textFill>
            <w14:solidFill>
              <w14:schemeClr w14:val="tx1"/>
            </w14:solidFill>
          </w14:textFill>
        </w:rPr>
      </w:pPr>
      <w:r>
        <w:rPr>
          <w:rFonts w:hint="eastAsia" w:ascii="Times New Roman" w:hAnsi="Times New Roman" w:eastAsia="仿宋_GB2312" w:cs="仿宋_GB2312"/>
          <w:color w:val="000000" w:themeColor="text1"/>
          <w:sz w:val="32"/>
          <w:szCs w:val="32"/>
          <w14:textFill>
            <w14:solidFill>
              <w14:schemeClr w14:val="tx1"/>
            </w14:solidFill>
          </w14:textFill>
        </w:rPr>
        <w:t>5.社会保障和就业（类）人力资源和社会保障管理事务（款）其他人力资源和社会保障管理事务支出（项）：支出决算为14.4万元，完成预算100%。</w:t>
      </w:r>
    </w:p>
    <w:p w14:paraId="7D21DD0C">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仿宋_GB2312"/>
          <w:color w:val="000000" w:themeColor="text1"/>
          <w:sz w:val="32"/>
          <w:szCs w:val="32"/>
          <w14:textFill>
            <w14:solidFill>
              <w14:schemeClr w14:val="tx1"/>
            </w14:solidFill>
          </w14:textFill>
        </w:rPr>
      </w:pPr>
      <w:r>
        <w:rPr>
          <w:rFonts w:hint="eastAsia" w:ascii="Times New Roman" w:hAnsi="Times New Roman" w:eastAsia="仿宋_GB2312" w:cs="仿宋_GB2312"/>
          <w:color w:val="000000" w:themeColor="text1"/>
          <w:sz w:val="32"/>
          <w:szCs w:val="32"/>
          <w14:textFill>
            <w14:solidFill>
              <w14:schemeClr w14:val="tx1"/>
            </w14:solidFill>
          </w14:textFill>
        </w:rPr>
        <w:t>6.社会保障和就业（类）行政事业单位养老支出（款）：行政单位离退休（项）支出决算为326.27万元，完成预算100%；事业单位离退休（项）支出决算为5.5万元，完成预算100%；机关事业单位基本养老保险缴费支出（项）支出决算为223.28万元，完成预算100%；机关事业单位职业年金缴费支出（项）支出决算为54.94万元，完成预算100%。</w:t>
      </w:r>
    </w:p>
    <w:p w14:paraId="5A071F3F">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仿宋_GB2312"/>
          <w:color w:val="000000" w:themeColor="text1"/>
          <w:sz w:val="32"/>
          <w:szCs w:val="32"/>
          <w14:textFill>
            <w14:solidFill>
              <w14:schemeClr w14:val="tx1"/>
            </w14:solidFill>
          </w14:textFill>
        </w:rPr>
      </w:pPr>
      <w:r>
        <w:rPr>
          <w:rFonts w:hint="eastAsia" w:ascii="Times New Roman" w:hAnsi="Times New Roman" w:eastAsia="仿宋_GB2312" w:cs="仿宋_GB2312"/>
          <w:color w:val="000000" w:themeColor="text1"/>
          <w:sz w:val="32"/>
          <w:szCs w:val="32"/>
          <w14:textFill>
            <w14:solidFill>
              <w14:schemeClr w14:val="tx1"/>
            </w14:solidFill>
          </w14:textFill>
        </w:rPr>
        <w:t>7.社会保障和就业（类）抚恤（款）死亡抚恤（项）：支出决算为48.74万元，完成预算100%。</w:t>
      </w:r>
    </w:p>
    <w:p w14:paraId="313C48FE">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仿宋_GB2312"/>
          <w:color w:val="000000" w:themeColor="text1"/>
          <w:sz w:val="32"/>
          <w:szCs w:val="32"/>
          <w14:textFill>
            <w14:solidFill>
              <w14:schemeClr w14:val="tx1"/>
            </w14:solidFill>
          </w14:textFill>
        </w:rPr>
      </w:pPr>
      <w:r>
        <w:rPr>
          <w:rFonts w:hint="eastAsia" w:ascii="Times New Roman" w:hAnsi="Times New Roman" w:eastAsia="仿宋_GB2312" w:cs="仿宋_GB2312"/>
          <w:color w:val="000000" w:themeColor="text1"/>
          <w:sz w:val="32"/>
          <w:szCs w:val="32"/>
          <w14:textFill>
            <w14:solidFill>
              <w14:schemeClr w14:val="tx1"/>
            </w14:solidFill>
          </w14:textFill>
        </w:rPr>
        <w:t>8.社会保障和就业（类）社会福利（款）儿童福利（项）：支出决算为0.6万元，完成预算100%。</w:t>
      </w:r>
    </w:p>
    <w:p w14:paraId="4C66D366">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仿宋_GB2312"/>
          <w:color w:val="000000" w:themeColor="text1"/>
          <w:sz w:val="32"/>
          <w:szCs w:val="32"/>
          <w14:textFill>
            <w14:solidFill>
              <w14:schemeClr w14:val="tx1"/>
            </w14:solidFill>
          </w14:textFill>
        </w:rPr>
      </w:pPr>
      <w:r>
        <w:rPr>
          <w:rFonts w:hint="eastAsia" w:ascii="Times New Roman" w:hAnsi="Times New Roman" w:eastAsia="仿宋_GB2312" w:cs="仿宋_GB2312"/>
          <w:color w:val="000000" w:themeColor="text1"/>
          <w:sz w:val="32"/>
          <w:szCs w:val="32"/>
          <w14:textFill>
            <w14:solidFill>
              <w14:schemeClr w14:val="tx1"/>
            </w14:solidFill>
          </w14:textFill>
        </w:rPr>
        <w:t>9.卫生健康（类）行政事业单位医疗（款）：行政单位医疗（项）支出决算为87.7万元，完成预算100%；事业单位医疗（项）支出决算为31.12万元，完成预算100%；公务员医疗补助（项）支出决算为16.92万元，完成预算100%；其他行政事业单位医疗支出（项）支出决算为10.87万元，完成预算100%。</w:t>
      </w:r>
    </w:p>
    <w:p w14:paraId="65A9FF87">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仿宋_GB2312"/>
          <w:color w:val="000000" w:themeColor="text1"/>
          <w:sz w:val="32"/>
          <w:szCs w:val="32"/>
          <w14:textFill>
            <w14:solidFill>
              <w14:schemeClr w14:val="tx1"/>
            </w14:solidFill>
          </w14:textFill>
        </w:rPr>
      </w:pPr>
      <w:r>
        <w:rPr>
          <w:rFonts w:hint="eastAsia" w:ascii="Times New Roman" w:hAnsi="Times New Roman" w:eastAsia="仿宋_GB2312" w:cs="仿宋_GB2312"/>
          <w:color w:val="000000" w:themeColor="text1"/>
          <w:sz w:val="32"/>
          <w:szCs w:val="32"/>
          <w14:textFill>
            <w14:solidFill>
              <w14:schemeClr w14:val="tx1"/>
            </w14:solidFill>
          </w14:textFill>
        </w:rPr>
        <w:t>10.卫生健康（类）其他卫生健康支出（款）其他卫生健康支出（项）：支出决算为0.17万元，完成预算100%。</w:t>
      </w:r>
    </w:p>
    <w:p w14:paraId="68C4B46F">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仿宋_GB2312"/>
          <w:color w:val="000000" w:themeColor="text1"/>
          <w:sz w:val="32"/>
          <w:szCs w:val="32"/>
          <w14:textFill>
            <w14:solidFill>
              <w14:schemeClr w14:val="tx1"/>
            </w14:solidFill>
          </w14:textFill>
        </w:rPr>
      </w:pPr>
      <w:r>
        <w:rPr>
          <w:rFonts w:hint="eastAsia" w:ascii="Times New Roman" w:hAnsi="Times New Roman" w:eastAsia="仿宋_GB2312" w:cs="仿宋_GB2312"/>
          <w:color w:val="000000" w:themeColor="text1"/>
          <w:sz w:val="32"/>
          <w:szCs w:val="32"/>
          <w14:textFill>
            <w14:solidFill>
              <w14:schemeClr w14:val="tx1"/>
            </w14:solidFill>
          </w14:textFill>
        </w:rPr>
        <w:t>11.住房保障（类）住房改革支出（款）住房公积金（项）：支出决算为183.07万元，完成预算100%。</w:t>
      </w:r>
    </w:p>
    <w:p w14:paraId="3043AFFB">
      <w:pPr>
        <w:keepNext w:val="0"/>
        <w:keepLines w:val="0"/>
        <w:pageBreakBefore w:val="0"/>
        <w:widowControl w:val="0"/>
        <w:tabs>
          <w:tab w:val="right" w:pos="8306"/>
        </w:tabs>
        <w:kinsoku/>
        <w:wordWrap/>
        <w:overflowPunct/>
        <w:topLinePunct w:val="0"/>
        <w:autoSpaceDE/>
        <w:autoSpaceDN/>
        <w:bidi w:val="0"/>
        <w:adjustRightInd/>
        <w:snapToGrid/>
        <w:spacing w:line="600" w:lineRule="exact"/>
        <w:ind w:firstLine="640"/>
        <w:textAlignment w:val="auto"/>
        <w:outlineLvl w:val="1"/>
        <w:rPr>
          <w:rStyle w:val="30"/>
          <w:rFonts w:hint="eastAsia" w:ascii="Times New Roman" w:hAnsi="Times New Roman" w:eastAsia="仿宋_GB2312" w:cs="仿宋_GB2312"/>
          <w:color w:val="000000" w:themeColor="text1"/>
          <w:sz w:val="32"/>
          <w14:textFill>
            <w14:solidFill>
              <w14:schemeClr w14:val="tx1"/>
            </w14:solidFill>
          </w14:textFill>
        </w:rPr>
      </w:pPr>
      <w:bookmarkStart w:id="43" w:name="_Toc9958"/>
      <w:bookmarkStart w:id="44" w:name="_Toc15377214"/>
      <w:bookmarkStart w:id="45" w:name="_Toc15396608"/>
      <w:r>
        <w:rPr>
          <w:rFonts w:hint="eastAsia" w:ascii="黑体" w:hAnsi="黑体" w:eastAsia="黑体" w:cs="黑体"/>
          <w:color w:val="000000" w:themeColor="text1"/>
          <w:sz w:val="32"/>
          <w:szCs w:val="32"/>
          <w14:textFill>
            <w14:solidFill>
              <w14:schemeClr w14:val="tx1"/>
            </w14:solidFill>
          </w14:textFill>
        </w:rPr>
        <w:t>六</w:t>
      </w:r>
      <w:r>
        <w:rPr>
          <w:rFonts w:hint="eastAsia" w:ascii="黑体" w:hAnsi="黑体" w:eastAsia="黑体" w:cs="黑体"/>
          <w:b/>
          <w:color w:val="000000" w:themeColor="text1"/>
          <w:sz w:val="32"/>
          <w:szCs w:val="32"/>
          <w14:textFill>
            <w14:solidFill>
              <w14:schemeClr w14:val="tx1"/>
            </w14:solidFill>
          </w14:textFill>
        </w:rPr>
        <w:t>、一</w:t>
      </w:r>
      <w:r>
        <w:rPr>
          <w:rStyle w:val="30"/>
          <w:rFonts w:hint="eastAsia" w:ascii="黑体" w:hAnsi="黑体" w:eastAsia="黑体" w:cs="黑体"/>
          <w:b w:val="0"/>
          <w:color w:val="000000" w:themeColor="text1"/>
          <w:sz w:val="32"/>
          <w14:textFill>
            <w14:solidFill>
              <w14:schemeClr w14:val="tx1"/>
            </w14:solidFill>
          </w14:textFill>
        </w:rPr>
        <w:t>般公共预算财政拨款基本支出决算情况说明</w:t>
      </w:r>
      <w:bookmarkEnd w:id="43"/>
      <w:bookmarkEnd w:id="44"/>
      <w:bookmarkEnd w:id="45"/>
      <w:r>
        <w:rPr>
          <w:rStyle w:val="30"/>
          <w:rFonts w:hint="eastAsia" w:ascii="黑体" w:hAnsi="黑体" w:eastAsia="黑体" w:cs="黑体"/>
          <w:b w:val="0"/>
          <w:color w:val="000000" w:themeColor="text1"/>
          <w:sz w:val="32"/>
          <w14:textFill>
            <w14:solidFill>
              <w14:schemeClr w14:val="tx1"/>
            </w14:solidFill>
          </w14:textFill>
        </w:rPr>
        <w:tab/>
      </w:r>
    </w:p>
    <w:p w14:paraId="00B209AF">
      <w:pPr>
        <w:keepNext w:val="0"/>
        <w:keepLines w:val="0"/>
        <w:pageBreakBefore w:val="0"/>
        <w:widowControl w:val="0"/>
        <w:kinsoku/>
        <w:wordWrap/>
        <w:overflowPunct/>
        <w:topLinePunct w:val="0"/>
        <w:autoSpaceDE/>
        <w:autoSpaceDN/>
        <w:bidi w:val="0"/>
        <w:adjustRightInd/>
        <w:snapToGrid/>
        <w:spacing w:line="600" w:lineRule="exact"/>
        <w:ind w:firstLine="640"/>
        <w:textAlignment w:val="auto"/>
        <w:rPr>
          <w:rFonts w:hint="eastAsia" w:ascii="Times New Roman" w:hAnsi="Times New Roman" w:eastAsia="仿宋_GB2312" w:cs="仿宋_GB2312"/>
          <w:color w:val="000000" w:themeColor="text1"/>
          <w:sz w:val="32"/>
          <w:szCs w:val="32"/>
          <w14:textFill>
            <w14:solidFill>
              <w14:schemeClr w14:val="tx1"/>
            </w14:solidFill>
          </w14:textFill>
        </w:rPr>
      </w:pPr>
      <w:r>
        <w:rPr>
          <w:rFonts w:hint="eastAsia" w:ascii="Times New Roman" w:hAnsi="Times New Roman" w:eastAsia="仿宋_GB2312" w:cs="仿宋_GB2312"/>
          <w:color w:val="000000" w:themeColor="text1"/>
          <w:sz w:val="32"/>
          <w:szCs w:val="32"/>
          <w14:textFill>
            <w14:solidFill>
              <w14:schemeClr w14:val="tx1"/>
            </w14:solidFill>
          </w14:textFill>
        </w:rPr>
        <w:t>2025年度一般公共预算财政拨款基本支出2,939.88万元，其中：</w:t>
      </w:r>
    </w:p>
    <w:p w14:paraId="770CC6F5">
      <w:pPr>
        <w:keepNext w:val="0"/>
        <w:keepLines w:val="0"/>
        <w:pageBreakBefore w:val="0"/>
        <w:widowControl w:val="0"/>
        <w:kinsoku/>
        <w:wordWrap/>
        <w:overflowPunct/>
        <w:topLinePunct w:val="0"/>
        <w:autoSpaceDE/>
        <w:autoSpaceDN/>
        <w:bidi w:val="0"/>
        <w:adjustRightInd/>
        <w:snapToGrid/>
        <w:spacing w:line="600" w:lineRule="exact"/>
        <w:ind w:firstLine="640"/>
        <w:textAlignment w:val="auto"/>
        <w:rPr>
          <w:rFonts w:hint="eastAsia" w:ascii="Times New Roman" w:hAnsi="Times New Roman" w:eastAsia="仿宋_GB2312" w:cs="仿宋_GB2312"/>
          <w:color w:val="000000" w:themeColor="text1"/>
          <w:sz w:val="32"/>
          <w:szCs w:val="32"/>
          <w14:textFill>
            <w14:solidFill>
              <w14:schemeClr w14:val="tx1"/>
            </w14:solidFill>
          </w14:textFill>
        </w:rPr>
      </w:pPr>
      <w:r>
        <w:rPr>
          <w:rFonts w:hint="eastAsia" w:ascii="Times New Roman" w:hAnsi="Times New Roman" w:eastAsia="仿宋_GB2312" w:cs="仿宋_GB2312"/>
          <w:color w:val="000000" w:themeColor="text1"/>
          <w:sz w:val="32"/>
          <w:szCs w:val="32"/>
          <w14:textFill>
            <w14:solidFill>
              <w14:schemeClr w14:val="tx1"/>
            </w14:solidFill>
          </w14:textFill>
        </w:rPr>
        <w:t>人员经费2,663.48万元，主要包括：基本工资、津贴补贴、奖金、绩效工资、机关事业单位基本养老保险缴费、职业年金缴费、职工基本医疗保险缴费、公务员医疗补助缴费、其他社会保障缴费、住房公积金、其他工资福利支出、抚恤金、生活补助、医疗费补助、奖励金、其他对个人和家庭的补助支出等。</w:t>
      </w:r>
    </w:p>
    <w:p w14:paraId="23C5A094">
      <w:pPr>
        <w:keepNext w:val="0"/>
        <w:keepLines w:val="0"/>
        <w:pageBreakBefore w:val="0"/>
        <w:widowControl w:val="0"/>
        <w:kinsoku/>
        <w:wordWrap/>
        <w:overflowPunct/>
        <w:topLinePunct w:val="0"/>
        <w:autoSpaceDE/>
        <w:autoSpaceDN/>
        <w:bidi w:val="0"/>
        <w:adjustRightInd/>
        <w:snapToGrid/>
        <w:spacing w:line="600" w:lineRule="exact"/>
        <w:ind w:firstLine="640"/>
        <w:textAlignment w:val="auto"/>
        <w:rPr>
          <w:rFonts w:hint="eastAsia" w:ascii="Times New Roman" w:hAnsi="Times New Roman" w:eastAsia="仿宋_GB2312" w:cs="仿宋_GB2312"/>
          <w:color w:val="000000" w:themeColor="text1"/>
          <w:sz w:val="32"/>
          <w:szCs w:val="32"/>
          <w14:textFill>
            <w14:solidFill>
              <w14:schemeClr w14:val="tx1"/>
            </w14:solidFill>
          </w14:textFill>
        </w:rPr>
      </w:pPr>
      <w:r>
        <w:rPr>
          <w:rFonts w:hint="eastAsia" w:ascii="Times New Roman" w:hAnsi="Times New Roman" w:eastAsia="仿宋_GB2312" w:cs="仿宋_GB2312"/>
          <w:color w:val="000000" w:themeColor="text1"/>
          <w:sz w:val="32"/>
          <w:szCs w:val="32"/>
          <w14:textFill>
            <w14:solidFill>
              <w14:schemeClr w14:val="tx1"/>
            </w14:solidFill>
          </w14:textFill>
        </w:rPr>
        <w:t>公用经费276.4万元，主要包括：办公费、水费、电费、邮电费、物业管理费、差旅费、租赁费、会议费、培训费、公务接待费、工会经费、福利费、公务用车运行维护费、其他交通费用、其他商品和服务支出等。</w:t>
      </w:r>
    </w:p>
    <w:p w14:paraId="47B9BFD5">
      <w:pPr>
        <w:keepNext w:val="0"/>
        <w:keepLines w:val="0"/>
        <w:pageBreakBefore w:val="0"/>
        <w:widowControl w:val="0"/>
        <w:kinsoku/>
        <w:wordWrap/>
        <w:overflowPunct/>
        <w:topLinePunct w:val="0"/>
        <w:autoSpaceDE/>
        <w:autoSpaceDN/>
        <w:bidi w:val="0"/>
        <w:adjustRightInd/>
        <w:snapToGrid/>
        <w:spacing w:line="600" w:lineRule="exact"/>
        <w:ind w:firstLine="640"/>
        <w:jc w:val="both"/>
        <w:textAlignment w:val="auto"/>
        <w:outlineLvl w:val="1"/>
        <w:rPr>
          <w:rStyle w:val="30"/>
          <w:rFonts w:hint="eastAsia" w:ascii="黑体" w:hAnsi="黑体" w:eastAsia="黑体" w:cs="黑体"/>
          <w:b w:val="0"/>
          <w:color w:val="000000" w:themeColor="text1"/>
          <w:sz w:val="32"/>
          <w14:textFill>
            <w14:solidFill>
              <w14:schemeClr w14:val="tx1"/>
            </w14:solidFill>
          </w14:textFill>
        </w:rPr>
      </w:pPr>
      <w:bookmarkStart w:id="46" w:name="_Toc22555"/>
      <w:bookmarkStart w:id="47" w:name="_Toc15396609"/>
      <w:bookmarkStart w:id="48" w:name="_Toc15377215"/>
      <w:r>
        <w:rPr>
          <w:rFonts w:hint="eastAsia" w:ascii="黑体" w:hAnsi="黑体" w:eastAsia="黑体" w:cs="黑体"/>
          <w:color w:val="000000" w:themeColor="text1"/>
          <w:sz w:val="32"/>
          <w:szCs w:val="32"/>
          <w14:textFill>
            <w14:solidFill>
              <w14:schemeClr w14:val="tx1"/>
            </w14:solidFill>
          </w14:textFill>
        </w:rPr>
        <w:t>七、</w:t>
      </w:r>
      <w:r>
        <w:rPr>
          <w:rStyle w:val="30"/>
          <w:rFonts w:hint="eastAsia" w:ascii="黑体" w:hAnsi="黑体" w:eastAsia="黑体" w:cs="黑体"/>
          <w:b w:val="0"/>
          <w:color w:val="000000" w:themeColor="text1"/>
          <w:sz w:val="32"/>
          <w14:textFill>
            <w14:solidFill>
              <w14:schemeClr w14:val="tx1"/>
            </w14:solidFill>
          </w14:textFill>
        </w:rPr>
        <w:t>财政拨款</w:t>
      </w:r>
      <w:r>
        <w:rPr>
          <w:rStyle w:val="30"/>
          <w:rFonts w:hint="eastAsia" w:ascii="黑体" w:hAnsi="黑体" w:eastAsia="黑体" w:cs="黑体"/>
          <w:color w:val="000000" w:themeColor="text1"/>
          <w:sz w:val="32"/>
          <w14:textFill>
            <w14:solidFill>
              <w14:schemeClr w14:val="tx1"/>
            </w14:solidFill>
          </w14:textFill>
        </w:rPr>
        <w:t>“</w:t>
      </w:r>
      <w:r>
        <w:rPr>
          <w:rStyle w:val="30"/>
          <w:rFonts w:hint="eastAsia" w:ascii="黑体" w:hAnsi="黑体" w:eastAsia="黑体" w:cs="黑体"/>
          <w:b w:val="0"/>
          <w:color w:val="000000" w:themeColor="text1"/>
          <w:sz w:val="32"/>
          <w14:textFill>
            <w14:solidFill>
              <w14:schemeClr w14:val="tx1"/>
            </w14:solidFill>
          </w14:textFill>
        </w:rPr>
        <w:t>三公”经费支出决算情况说明</w:t>
      </w:r>
      <w:bookmarkEnd w:id="46"/>
      <w:bookmarkEnd w:id="47"/>
      <w:bookmarkEnd w:id="48"/>
    </w:p>
    <w:p w14:paraId="73D15642">
      <w:pPr>
        <w:keepNext w:val="0"/>
        <w:keepLines w:val="0"/>
        <w:pageBreakBefore w:val="0"/>
        <w:widowControl w:val="0"/>
        <w:kinsoku/>
        <w:wordWrap/>
        <w:overflowPunct/>
        <w:topLinePunct w:val="0"/>
        <w:autoSpaceDE/>
        <w:autoSpaceDN/>
        <w:bidi w:val="0"/>
        <w:adjustRightInd/>
        <w:snapToGrid/>
        <w:spacing w:line="600" w:lineRule="exact"/>
        <w:ind w:firstLine="643" w:firstLineChars="200"/>
        <w:jc w:val="both"/>
        <w:textAlignment w:val="auto"/>
        <w:outlineLvl w:val="2"/>
        <w:rPr>
          <w:rFonts w:hint="eastAsia" w:eastAsia="楷体_GB2312" w:cs="楷体_GB2312"/>
          <w:b/>
          <w:color w:val="000000" w:themeColor="text1"/>
          <w:sz w:val="32"/>
          <w:szCs w:val="32"/>
          <w14:textFill>
            <w14:solidFill>
              <w14:schemeClr w14:val="tx1"/>
            </w14:solidFill>
          </w14:textFill>
        </w:rPr>
      </w:pPr>
      <w:bookmarkStart w:id="49" w:name="_Toc15377216"/>
      <w:r>
        <w:rPr>
          <w:rFonts w:hint="eastAsia" w:eastAsia="楷体_GB2312" w:cs="楷体_GB2312"/>
          <w:b/>
          <w:color w:val="000000" w:themeColor="text1"/>
          <w:sz w:val="32"/>
          <w:szCs w:val="32"/>
          <w14:textFill>
            <w14:solidFill>
              <w14:schemeClr w14:val="tx1"/>
            </w14:solidFill>
          </w14:textFill>
        </w:rPr>
        <w:t>（一）财政拨款“三公”经费支出决算总体情况说明</w:t>
      </w:r>
      <w:bookmarkEnd w:id="49"/>
    </w:p>
    <w:p w14:paraId="3E74A3BC">
      <w:pPr>
        <w:keepNext w:val="0"/>
        <w:keepLines w:val="0"/>
        <w:pageBreakBefore w:val="0"/>
        <w:widowControl w:val="0"/>
        <w:kinsoku/>
        <w:wordWrap/>
        <w:overflowPunct/>
        <w:topLinePunct w:val="0"/>
        <w:autoSpaceDE/>
        <w:autoSpaceDN/>
        <w:bidi w:val="0"/>
        <w:adjustRightInd/>
        <w:snapToGrid/>
        <w:spacing w:line="600" w:lineRule="exact"/>
        <w:ind w:firstLine="640"/>
        <w:jc w:val="both"/>
        <w:textAlignment w:val="auto"/>
        <w:rPr>
          <w:rFonts w:hint="eastAsia" w:ascii="Times New Roman" w:hAnsi="Times New Roman" w:eastAsia="仿宋_GB2312" w:cs="仿宋_GB2312"/>
          <w:b/>
          <w:color w:val="000000" w:themeColor="text1"/>
          <w:sz w:val="32"/>
          <w:szCs w:val="32"/>
          <w14:textFill>
            <w14:solidFill>
              <w14:schemeClr w14:val="tx1"/>
            </w14:solidFill>
          </w14:textFill>
        </w:rPr>
      </w:pPr>
      <w:r>
        <w:rPr>
          <w:rFonts w:hint="eastAsia" w:ascii="Times New Roman" w:hAnsi="Times New Roman" w:eastAsia="仿宋_GB2312" w:cs="仿宋_GB2312"/>
          <w:color w:val="000000" w:themeColor="text1"/>
          <w:sz w:val="32"/>
          <w:szCs w:val="32"/>
          <w14:textFill>
            <w14:solidFill>
              <w14:schemeClr w14:val="tx1"/>
            </w14:solidFill>
          </w14:textFill>
        </w:rPr>
        <w:t>2025年度财政拨款“三公”经费支出决算为9.53万元，完成预算100%，较上年度9.64万元减少0.11万元，下降1.1%。决算数与预算数持平的主要原因是委机关坚持厉行节约的原则，严格落实政府过紧日子要求，有效控制“三公”经费财政拨款支出。</w:t>
      </w:r>
    </w:p>
    <w:p w14:paraId="5DE7B27E">
      <w:pPr>
        <w:keepNext w:val="0"/>
        <w:keepLines w:val="0"/>
        <w:pageBreakBefore w:val="0"/>
        <w:widowControl w:val="0"/>
        <w:kinsoku/>
        <w:wordWrap/>
        <w:overflowPunct/>
        <w:topLinePunct w:val="0"/>
        <w:autoSpaceDE/>
        <w:autoSpaceDN/>
        <w:bidi w:val="0"/>
        <w:adjustRightInd/>
        <w:snapToGrid/>
        <w:spacing w:line="600" w:lineRule="exact"/>
        <w:ind w:firstLine="643" w:firstLineChars="200"/>
        <w:jc w:val="both"/>
        <w:textAlignment w:val="auto"/>
        <w:outlineLvl w:val="2"/>
        <w:rPr>
          <w:rFonts w:hint="eastAsia" w:eastAsia="楷体_GB2312" w:cs="楷体_GB2312"/>
          <w:b/>
          <w:color w:val="000000" w:themeColor="text1"/>
          <w:sz w:val="32"/>
          <w:szCs w:val="32"/>
          <w14:textFill>
            <w14:solidFill>
              <w14:schemeClr w14:val="tx1"/>
            </w14:solidFill>
          </w14:textFill>
        </w:rPr>
      </w:pPr>
      <w:bookmarkStart w:id="50" w:name="_Toc15377217"/>
      <w:r>
        <w:rPr>
          <w:rFonts w:hint="eastAsia" w:eastAsia="楷体_GB2312" w:cs="楷体_GB2312"/>
          <w:b/>
          <w:color w:val="000000" w:themeColor="text1"/>
          <w:sz w:val="32"/>
          <w:szCs w:val="32"/>
          <w14:textFill>
            <w14:solidFill>
              <w14:schemeClr w14:val="tx1"/>
            </w14:solidFill>
          </w14:textFill>
        </w:rPr>
        <w:t>（二）财政拨款“三公”经费支出决算具体情况说明</w:t>
      </w:r>
      <w:bookmarkEnd w:id="50"/>
    </w:p>
    <w:p w14:paraId="593FD3B4">
      <w:pPr>
        <w:keepNext w:val="0"/>
        <w:keepLines w:val="0"/>
        <w:pageBreakBefore w:val="0"/>
        <w:widowControl w:val="0"/>
        <w:kinsoku/>
        <w:wordWrap/>
        <w:overflowPunct/>
        <w:topLinePunct w:val="0"/>
        <w:autoSpaceDE/>
        <w:autoSpaceDN/>
        <w:bidi w:val="0"/>
        <w:adjustRightInd/>
        <w:snapToGrid/>
        <w:spacing w:line="600" w:lineRule="exact"/>
        <w:ind w:firstLine="640"/>
        <w:jc w:val="both"/>
        <w:textAlignment w:val="auto"/>
        <w:rPr>
          <w:rFonts w:hint="eastAsia" w:ascii="Times New Roman" w:hAnsi="Times New Roman" w:eastAsia="仿宋_GB2312" w:cs="仿宋_GB2312"/>
          <w:color w:val="000000" w:themeColor="text1"/>
          <w:sz w:val="32"/>
          <w:szCs w:val="32"/>
          <w14:textFill>
            <w14:solidFill>
              <w14:schemeClr w14:val="tx1"/>
            </w14:solidFill>
          </w14:textFill>
        </w:rPr>
      </w:pPr>
      <w:r>
        <w:rPr>
          <w:rFonts w:hint="eastAsia" w:ascii="Times New Roman" w:hAnsi="Times New Roman" w:eastAsia="仿宋_GB2312" w:cs="仿宋_GB2312"/>
          <w:color w:val="000000" w:themeColor="text1"/>
          <w:sz w:val="32"/>
          <w:szCs w:val="32"/>
          <w14:textFill>
            <w14:solidFill>
              <w14:schemeClr w14:val="tx1"/>
            </w14:solidFill>
          </w14:textFill>
        </w:rPr>
        <w:t>2025年度财政拨款“三公”经费支出决算中，因公出国（境）费支出决算0万元，占0%；公务用车购置及运行维护费支出决算6.61万元，占69.4%；公务接待费支出决算2.92万元，占30.6%。具体情况如下：</w:t>
      </w:r>
    </w:p>
    <w:p w14:paraId="03291360">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Times New Roman" w:hAnsi="Times New Roman" w:eastAsia="仿宋_GB2312" w:cs="仿宋_GB2312"/>
          <w:color w:val="000000" w:themeColor="text1"/>
          <w:sz w:val="32"/>
          <w:szCs w:val="32"/>
          <w14:textFill>
            <w14:solidFill>
              <w14:schemeClr w14:val="tx1"/>
            </w14:solidFill>
          </w14:textFill>
        </w:rPr>
      </w:pPr>
      <w:r>
        <w:rPr>
          <w:rFonts w:hint="eastAsia" w:ascii="Times New Roman" w:hAnsi="Times New Roman" w:eastAsia="仿宋_GB2312" w:cs="仿宋_GB2312"/>
          <w:color w:val="000000" w:themeColor="text1"/>
          <w:sz w:val="32"/>
          <w:szCs w:val="32"/>
          <w14:textFill>
            <w14:solidFill>
              <w14:schemeClr w14:val="tx1"/>
            </w14:solidFill>
          </w14:textFill>
        </w:rPr>
        <w:t>（图7：财政拨款“三公”经费支出结构）</w:t>
      </w:r>
    </w:p>
    <w:p w14:paraId="57B480EF">
      <w:pPr>
        <w:jc w:val="center"/>
        <w:rPr>
          <w:rFonts w:eastAsia="仿宋_GB2312" w:cs="仿宋_GB2312"/>
          <w:color w:val="000000" w:themeColor="text1"/>
          <w:sz w:val="32"/>
          <w:szCs w:val="32"/>
          <w:highlight w:val="yellow"/>
          <w14:textFill>
            <w14:solidFill>
              <w14:schemeClr w14:val="tx1"/>
            </w14:solidFill>
          </w14:textFill>
        </w:rPr>
      </w:pPr>
      <w:r>
        <w:rPr>
          <w:rFonts w:hint="eastAsia" w:eastAsia="仿宋_GB2312" w:cs="仿宋_GB2312"/>
          <w:color w:val="000000" w:themeColor="text1"/>
          <w:sz w:val="32"/>
          <w:szCs w:val="32"/>
          <w14:textFill>
            <w14:solidFill>
              <w14:schemeClr w14:val="tx1"/>
            </w14:solidFill>
          </w14:textFill>
        </w:rPr>
        <w:drawing>
          <wp:inline distT="0" distB="0" distL="114300" distR="114300">
            <wp:extent cx="5270500" cy="3234690"/>
            <wp:effectExtent l="0" t="0" r="6350" b="3810"/>
            <wp:docPr id="8" name="图片 8" descr="图7：财政拨款三公经费支出结构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图7：财政拨款三公经费支出结构图"/>
                    <pic:cNvPicPr>
                      <a:picLocks noChangeAspect="1"/>
                    </pic:cNvPicPr>
                  </pic:nvPicPr>
                  <pic:blipFill>
                    <a:blip r:embed="rId13"/>
                    <a:stretch>
                      <a:fillRect/>
                    </a:stretch>
                  </pic:blipFill>
                  <pic:spPr>
                    <a:xfrm>
                      <a:off x="0" y="0"/>
                      <a:ext cx="5270500" cy="3234690"/>
                    </a:xfrm>
                    <a:prstGeom prst="rect">
                      <a:avLst/>
                    </a:prstGeom>
                  </pic:spPr>
                </pic:pic>
              </a:graphicData>
            </a:graphic>
          </wp:inline>
        </w:drawing>
      </w:r>
    </w:p>
    <w:p w14:paraId="538C407D">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Times New Roman" w:hAnsi="Times New Roman" w:eastAsia="仿宋_GB2312" w:cs="仿宋_GB2312"/>
          <w:color w:val="000000" w:themeColor="text1"/>
          <w:sz w:val="32"/>
          <w:szCs w:val="32"/>
          <w14:textFill>
            <w14:solidFill>
              <w14:schemeClr w14:val="tx1"/>
            </w14:solidFill>
          </w14:textFill>
        </w:rPr>
      </w:pPr>
      <w:r>
        <w:rPr>
          <w:rFonts w:hint="eastAsia" w:ascii="Times New Roman" w:hAnsi="Times New Roman" w:eastAsia="仿宋_GB2312" w:cs="仿宋_GB2312"/>
          <w:b/>
          <w:bCs/>
          <w:color w:val="000000" w:themeColor="text1"/>
          <w:sz w:val="32"/>
          <w:szCs w:val="32"/>
          <w14:textFill>
            <w14:solidFill>
              <w14:schemeClr w14:val="tx1"/>
            </w14:solidFill>
          </w14:textFill>
        </w:rPr>
        <w:t>1.因公出国（境）经费支出</w:t>
      </w:r>
      <w:r>
        <w:rPr>
          <w:rFonts w:hint="eastAsia" w:ascii="Times New Roman" w:hAnsi="Times New Roman" w:eastAsia="仿宋_GB2312" w:cs="仿宋_GB2312"/>
          <w:color w:val="000000" w:themeColor="text1"/>
          <w:sz w:val="32"/>
          <w:szCs w:val="32"/>
          <w14:textFill>
            <w14:solidFill>
              <w14:schemeClr w14:val="tx1"/>
            </w14:solidFill>
          </w14:textFill>
        </w:rPr>
        <w:t>0</w:t>
      </w:r>
      <w:r>
        <w:rPr>
          <w:rFonts w:hint="eastAsia" w:ascii="Times New Roman" w:hAnsi="Times New Roman" w:eastAsia="仿宋_GB2312" w:cs="仿宋_GB2312"/>
          <w:b/>
          <w:bCs/>
          <w:color w:val="000000" w:themeColor="text1"/>
          <w:sz w:val="32"/>
          <w:szCs w:val="32"/>
          <w14:textFill>
            <w14:solidFill>
              <w14:schemeClr w14:val="tx1"/>
            </w14:solidFill>
          </w14:textFill>
        </w:rPr>
        <w:t>万元。</w:t>
      </w:r>
      <w:r>
        <w:rPr>
          <w:rFonts w:hint="eastAsia" w:ascii="Times New Roman" w:hAnsi="Times New Roman" w:eastAsia="仿宋_GB2312" w:cs="仿宋_GB2312"/>
          <w:color w:val="000000" w:themeColor="text1"/>
          <w:sz w:val="32"/>
          <w:szCs w:val="32"/>
          <w14:textFill>
            <w14:solidFill>
              <w14:schemeClr w14:val="tx1"/>
            </w14:solidFill>
          </w14:textFill>
        </w:rPr>
        <w:t>全年安排因公出国（境）团组0次，出国（境）0人。因公出国（境）支出决算与2024年度持平。</w:t>
      </w:r>
    </w:p>
    <w:p w14:paraId="573EB295">
      <w:pPr>
        <w:keepNext w:val="0"/>
        <w:keepLines w:val="0"/>
        <w:pageBreakBefore w:val="0"/>
        <w:widowControl w:val="0"/>
        <w:kinsoku/>
        <w:wordWrap/>
        <w:overflowPunct/>
        <w:topLinePunct w:val="0"/>
        <w:autoSpaceDE/>
        <w:autoSpaceDN/>
        <w:bidi w:val="0"/>
        <w:adjustRightInd/>
        <w:snapToGrid/>
        <w:spacing w:line="600" w:lineRule="exact"/>
        <w:ind w:firstLine="640"/>
        <w:textAlignment w:val="auto"/>
        <w:rPr>
          <w:rFonts w:hint="eastAsia" w:ascii="Times New Roman" w:hAnsi="Times New Roman" w:eastAsia="仿宋_GB2312" w:cs="仿宋_GB2312"/>
          <w:color w:val="000000" w:themeColor="text1"/>
          <w:sz w:val="32"/>
          <w:szCs w:val="32"/>
          <w14:textFill>
            <w14:solidFill>
              <w14:schemeClr w14:val="tx1"/>
            </w14:solidFill>
          </w14:textFill>
        </w:rPr>
      </w:pPr>
      <w:r>
        <w:rPr>
          <w:rFonts w:hint="eastAsia" w:ascii="Times New Roman" w:hAnsi="Times New Roman" w:eastAsia="仿宋_GB2312" w:cs="仿宋_GB2312"/>
          <w:b/>
          <w:bCs/>
          <w:color w:val="000000" w:themeColor="text1"/>
          <w:sz w:val="32"/>
          <w:szCs w:val="32"/>
          <w14:textFill>
            <w14:solidFill>
              <w14:schemeClr w14:val="tx1"/>
            </w14:solidFill>
          </w14:textFill>
        </w:rPr>
        <w:t>2.公务用车购置及运行维护费支出6.61万元，完成预算100%。</w:t>
      </w:r>
      <w:r>
        <w:rPr>
          <w:rFonts w:hint="eastAsia" w:ascii="Times New Roman" w:hAnsi="Times New Roman" w:eastAsia="仿宋_GB2312" w:cs="仿宋_GB2312"/>
          <w:color w:val="000000" w:themeColor="text1"/>
          <w:sz w:val="32"/>
          <w:szCs w:val="32"/>
          <w14:textFill>
            <w14:solidFill>
              <w14:schemeClr w14:val="tx1"/>
            </w14:solidFill>
          </w14:textFill>
        </w:rPr>
        <w:t>公务用车购置及运行维护费支出决算比上年度6.73万元减少0.12万元，下降1.8%。主要原因是我委有效控制公务用车各项费用支出。</w:t>
      </w:r>
    </w:p>
    <w:p w14:paraId="1DBD3341">
      <w:pPr>
        <w:keepNext w:val="0"/>
        <w:keepLines w:val="0"/>
        <w:pageBreakBefore w:val="0"/>
        <w:widowControl w:val="0"/>
        <w:kinsoku/>
        <w:wordWrap/>
        <w:overflowPunct/>
        <w:topLinePunct w:val="0"/>
        <w:autoSpaceDE/>
        <w:autoSpaceDN/>
        <w:bidi w:val="0"/>
        <w:adjustRightInd/>
        <w:snapToGrid/>
        <w:spacing w:line="600" w:lineRule="exact"/>
        <w:ind w:firstLine="640"/>
        <w:textAlignment w:val="auto"/>
        <w:rPr>
          <w:rFonts w:hint="eastAsia" w:ascii="Times New Roman" w:hAnsi="Times New Roman" w:eastAsia="仿宋_GB2312" w:cs="仿宋_GB2312"/>
          <w:color w:val="000000" w:themeColor="text1"/>
          <w:sz w:val="32"/>
          <w:szCs w:val="32"/>
          <w14:textFill>
            <w14:solidFill>
              <w14:schemeClr w14:val="tx1"/>
            </w14:solidFill>
          </w14:textFill>
        </w:rPr>
      </w:pPr>
      <w:r>
        <w:rPr>
          <w:rFonts w:hint="eastAsia" w:ascii="Times New Roman" w:hAnsi="Times New Roman" w:eastAsia="仿宋_GB2312" w:cs="仿宋_GB2312"/>
          <w:color w:val="000000" w:themeColor="text1"/>
          <w:sz w:val="32"/>
          <w:szCs w:val="32"/>
          <w14:textFill>
            <w14:solidFill>
              <w14:schemeClr w14:val="tx1"/>
            </w14:solidFill>
          </w14:textFill>
        </w:rPr>
        <w:t>其中：公务用车购置支出0万元。全年按规定更新购置公务用车0辆，其中：轿车0辆、金额0万元，越野车0辆、金额0万元，载客汽车0辆、金额0万元。截至2025年12月31日，单位共有公务用车5辆，其中：轿车1辆、越野车2辆、其他用车2辆（市重要和应急物资储备中心内燃叉车2辆）。</w:t>
      </w:r>
    </w:p>
    <w:p w14:paraId="54C63088">
      <w:pPr>
        <w:keepNext w:val="0"/>
        <w:keepLines w:val="0"/>
        <w:pageBreakBefore w:val="0"/>
        <w:widowControl w:val="0"/>
        <w:kinsoku/>
        <w:wordWrap/>
        <w:overflowPunct/>
        <w:topLinePunct w:val="0"/>
        <w:autoSpaceDE/>
        <w:autoSpaceDN/>
        <w:bidi w:val="0"/>
        <w:adjustRightInd/>
        <w:snapToGrid/>
        <w:spacing w:line="600" w:lineRule="exact"/>
        <w:ind w:firstLine="640"/>
        <w:textAlignment w:val="auto"/>
        <w:rPr>
          <w:rFonts w:hint="eastAsia" w:ascii="Times New Roman" w:hAnsi="Times New Roman" w:eastAsia="仿宋_GB2312" w:cs="仿宋_GB2312"/>
          <w:color w:val="000000" w:themeColor="text1"/>
          <w:sz w:val="32"/>
          <w:szCs w:val="32"/>
          <w14:textFill>
            <w14:solidFill>
              <w14:schemeClr w14:val="tx1"/>
            </w14:solidFill>
          </w14:textFill>
        </w:rPr>
      </w:pPr>
      <w:r>
        <w:rPr>
          <w:rFonts w:hint="eastAsia" w:ascii="Times New Roman" w:hAnsi="Times New Roman" w:eastAsia="仿宋_GB2312" w:cs="仿宋_GB2312"/>
          <w:color w:val="000000" w:themeColor="text1"/>
          <w:sz w:val="32"/>
          <w:szCs w:val="32"/>
          <w14:textFill>
            <w14:solidFill>
              <w14:schemeClr w14:val="tx1"/>
            </w14:solidFill>
          </w14:textFill>
        </w:rPr>
        <w:t>公务用车运行维护费支出6.61万元。主要用于争取项目资金、加快攀西试验区高质量发展、开展项目储备包装、推进共同富裕试验区公共服务均衡可及、深化区域合作、森林草原防灭火工作检查、开展重大项目调研、粮食及应急物资管理监督检查等所需的公务用车燃料费、维修费、过路过桥费、保险费等支出。</w:t>
      </w:r>
    </w:p>
    <w:p w14:paraId="3F102DE9">
      <w:pPr>
        <w:keepNext w:val="0"/>
        <w:keepLines w:val="0"/>
        <w:pageBreakBefore w:val="0"/>
        <w:widowControl w:val="0"/>
        <w:kinsoku/>
        <w:wordWrap/>
        <w:overflowPunct/>
        <w:topLinePunct w:val="0"/>
        <w:autoSpaceDE/>
        <w:autoSpaceDN/>
        <w:bidi w:val="0"/>
        <w:adjustRightInd/>
        <w:snapToGrid/>
        <w:spacing w:line="600" w:lineRule="exact"/>
        <w:ind w:firstLine="640"/>
        <w:textAlignment w:val="auto"/>
        <w:rPr>
          <w:rFonts w:hint="eastAsia" w:ascii="Times New Roman" w:hAnsi="Times New Roman" w:eastAsia="仿宋_GB2312" w:cs="仿宋_GB2312"/>
          <w:color w:val="000000" w:themeColor="text1"/>
          <w:sz w:val="32"/>
          <w:szCs w:val="32"/>
          <w14:textFill>
            <w14:solidFill>
              <w14:schemeClr w14:val="tx1"/>
            </w14:solidFill>
          </w14:textFill>
        </w:rPr>
      </w:pPr>
      <w:r>
        <w:rPr>
          <w:rFonts w:hint="eastAsia" w:ascii="Times New Roman" w:hAnsi="Times New Roman" w:eastAsia="仿宋_GB2312" w:cs="仿宋_GB2312"/>
          <w:b/>
          <w:bCs/>
          <w:color w:val="000000" w:themeColor="text1"/>
          <w:sz w:val="32"/>
          <w:szCs w:val="32"/>
          <w14:textFill>
            <w14:solidFill>
              <w14:schemeClr w14:val="tx1"/>
            </w14:solidFill>
          </w14:textFill>
        </w:rPr>
        <w:t>3.公务接待费支出2.92万元，完成预算100%。</w:t>
      </w:r>
      <w:r>
        <w:rPr>
          <w:rFonts w:hint="eastAsia" w:ascii="Times New Roman" w:hAnsi="Times New Roman" w:eastAsia="仿宋_GB2312" w:cs="仿宋_GB2312"/>
          <w:color w:val="000000" w:themeColor="text1"/>
          <w:sz w:val="32"/>
          <w:szCs w:val="32"/>
          <w14:textFill>
            <w14:solidFill>
              <w14:schemeClr w14:val="tx1"/>
            </w14:solidFill>
          </w14:textFill>
        </w:rPr>
        <w:t>公务接待费支出决算比上年度2.91万元增加0.01万元，增长0.3%。主要原因是公务活动增加。其中：</w:t>
      </w:r>
    </w:p>
    <w:p w14:paraId="519887FA">
      <w:pPr>
        <w:keepNext w:val="0"/>
        <w:keepLines w:val="0"/>
        <w:pageBreakBefore w:val="0"/>
        <w:widowControl w:val="0"/>
        <w:kinsoku/>
        <w:wordWrap/>
        <w:overflowPunct/>
        <w:topLinePunct w:val="0"/>
        <w:autoSpaceDE/>
        <w:autoSpaceDN/>
        <w:bidi w:val="0"/>
        <w:adjustRightInd/>
        <w:snapToGrid/>
        <w:spacing w:line="600" w:lineRule="exact"/>
        <w:ind w:firstLine="640"/>
        <w:textAlignment w:val="auto"/>
        <w:rPr>
          <w:rFonts w:hint="eastAsia" w:ascii="Times New Roman" w:hAnsi="Times New Roman" w:eastAsia="仿宋_GB2312" w:cs="仿宋_GB2312"/>
          <w:color w:val="000000" w:themeColor="text1"/>
          <w:sz w:val="32"/>
          <w:szCs w:val="32"/>
          <w14:textFill>
            <w14:solidFill>
              <w14:schemeClr w14:val="tx1"/>
            </w14:solidFill>
          </w14:textFill>
        </w:rPr>
      </w:pPr>
      <w:r>
        <w:rPr>
          <w:rFonts w:hint="eastAsia" w:ascii="Times New Roman" w:hAnsi="Times New Roman" w:eastAsia="仿宋_GB2312" w:cs="仿宋_GB2312"/>
          <w:color w:val="000000" w:themeColor="text1"/>
          <w:sz w:val="32"/>
          <w:szCs w:val="32"/>
          <w14:textFill>
            <w14:solidFill>
              <w14:schemeClr w14:val="tx1"/>
            </w14:solidFill>
          </w14:textFill>
        </w:rPr>
        <w:t>国内公务接待支出2.92万元，主要用于省发展改革委、省粮食和物资储备局等上级部门来攀调研、检查，其他市（州）来攀对接工作、学习交流用餐费等。国内公务接待</w:t>
      </w:r>
      <w:r>
        <w:rPr>
          <w:rFonts w:hint="eastAsia" w:ascii="Times New Roman" w:hAnsi="Times New Roman" w:eastAsia="仿宋_GB2312" w:cs="仿宋_GB2312"/>
          <w:color w:val="000000" w:themeColor="text1"/>
          <w:sz w:val="32"/>
          <w:szCs w:val="32"/>
          <w:lang w:val="en-US" w:eastAsia="zh-CN"/>
          <w14:textFill>
            <w14:solidFill>
              <w14:schemeClr w14:val="tx1"/>
            </w14:solidFill>
          </w14:textFill>
        </w:rPr>
        <w:t>23</w:t>
      </w:r>
      <w:r>
        <w:rPr>
          <w:rFonts w:hint="eastAsia" w:ascii="Times New Roman" w:hAnsi="Times New Roman" w:eastAsia="仿宋_GB2312" w:cs="仿宋_GB2312"/>
          <w:color w:val="000000" w:themeColor="text1"/>
          <w:sz w:val="32"/>
          <w:szCs w:val="32"/>
          <w14:textFill>
            <w14:solidFill>
              <w14:schemeClr w14:val="tx1"/>
            </w14:solidFill>
          </w14:textFill>
        </w:rPr>
        <w:t>批次，132人次（不包括陪同人员），共计支出2.92万元，具体内容包括：国家发展改革委、国家能源局、省发展改革委、省能源局、省粮食和物资储备局、省大数据中心等上级部门来攀调研数字人才、安全生产、核查项目等接待支出1.68万元；省高科技产业化协会、区域协会、成都西南交大设计研究院有限公司、千方联陆智能交通科技（上海）有限公司、凉山州人民政府、中铁二院、成昆铁路公司、中铁快运等相关单位来攀开展交流、调研等工作接待支出1.24万元。</w:t>
      </w:r>
    </w:p>
    <w:p w14:paraId="500A87D6">
      <w:pPr>
        <w:keepNext w:val="0"/>
        <w:keepLines w:val="0"/>
        <w:pageBreakBefore w:val="0"/>
        <w:widowControl w:val="0"/>
        <w:kinsoku/>
        <w:wordWrap/>
        <w:overflowPunct/>
        <w:topLinePunct w:val="0"/>
        <w:autoSpaceDE/>
        <w:autoSpaceDN/>
        <w:bidi w:val="0"/>
        <w:adjustRightInd/>
        <w:snapToGrid/>
        <w:spacing w:line="600" w:lineRule="exact"/>
        <w:ind w:firstLine="640"/>
        <w:textAlignment w:val="auto"/>
        <w:rPr>
          <w:rFonts w:hint="eastAsia" w:ascii="Times New Roman" w:hAnsi="Times New Roman" w:eastAsia="仿宋_GB2312" w:cs="仿宋_GB2312"/>
          <w:color w:val="000000" w:themeColor="text1"/>
          <w:sz w:val="32"/>
          <w:szCs w:val="32"/>
          <w14:textFill>
            <w14:solidFill>
              <w14:schemeClr w14:val="tx1"/>
            </w14:solidFill>
          </w14:textFill>
        </w:rPr>
      </w:pPr>
      <w:r>
        <w:rPr>
          <w:rFonts w:hint="eastAsia" w:ascii="Times New Roman" w:hAnsi="Times New Roman" w:eastAsia="仿宋_GB2312" w:cs="仿宋_GB2312"/>
          <w:color w:val="000000" w:themeColor="text1"/>
          <w:sz w:val="32"/>
          <w:szCs w:val="32"/>
          <w14:textFill>
            <w14:solidFill>
              <w14:schemeClr w14:val="tx1"/>
            </w14:solidFill>
          </w14:textFill>
        </w:rPr>
        <w:t>外事接待支出0万元。</w:t>
      </w:r>
      <w:bookmarkStart w:id="51" w:name="_Toc15396610"/>
      <w:bookmarkStart w:id="52" w:name="_Toc15377218"/>
    </w:p>
    <w:p w14:paraId="35902816">
      <w:pPr>
        <w:keepNext w:val="0"/>
        <w:keepLines w:val="0"/>
        <w:pageBreakBefore w:val="0"/>
        <w:widowControl w:val="0"/>
        <w:kinsoku/>
        <w:wordWrap/>
        <w:overflowPunct/>
        <w:topLinePunct w:val="0"/>
        <w:autoSpaceDE/>
        <w:autoSpaceDN/>
        <w:bidi w:val="0"/>
        <w:adjustRightInd/>
        <w:snapToGrid/>
        <w:spacing w:line="600" w:lineRule="exact"/>
        <w:ind w:firstLine="640"/>
        <w:textAlignment w:val="auto"/>
        <w:outlineLvl w:val="1"/>
        <w:rPr>
          <w:rStyle w:val="30"/>
          <w:rFonts w:hint="eastAsia" w:ascii="黑体" w:hAnsi="黑体" w:eastAsia="黑体" w:cs="黑体"/>
          <w:color w:val="000000" w:themeColor="text1"/>
          <w:sz w:val="32"/>
          <w14:textFill>
            <w14:solidFill>
              <w14:schemeClr w14:val="tx1"/>
            </w14:solidFill>
          </w14:textFill>
        </w:rPr>
      </w:pPr>
      <w:bookmarkStart w:id="53" w:name="_Toc6512"/>
      <w:r>
        <w:rPr>
          <w:rFonts w:hint="eastAsia" w:ascii="黑体" w:hAnsi="黑体" w:eastAsia="黑体" w:cs="黑体"/>
          <w:color w:val="000000" w:themeColor="text1"/>
          <w:sz w:val="32"/>
          <w:szCs w:val="32"/>
          <w14:textFill>
            <w14:solidFill>
              <w14:schemeClr w14:val="tx1"/>
            </w14:solidFill>
          </w14:textFill>
        </w:rPr>
        <w:t>八、</w:t>
      </w:r>
      <w:r>
        <w:rPr>
          <w:rStyle w:val="30"/>
          <w:rFonts w:hint="eastAsia" w:ascii="黑体" w:hAnsi="黑体" w:eastAsia="黑体" w:cs="黑体"/>
          <w:b w:val="0"/>
          <w:color w:val="000000" w:themeColor="text1"/>
          <w:sz w:val="32"/>
          <w14:textFill>
            <w14:solidFill>
              <w14:schemeClr w14:val="tx1"/>
            </w14:solidFill>
          </w14:textFill>
        </w:rPr>
        <w:t>政府性基金预算支出决算情况说明</w:t>
      </w:r>
      <w:bookmarkEnd w:id="51"/>
      <w:bookmarkEnd w:id="52"/>
      <w:bookmarkEnd w:id="53"/>
    </w:p>
    <w:p w14:paraId="71D492B0">
      <w:pPr>
        <w:keepNext w:val="0"/>
        <w:keepLines w:val="0"/>
        <w:pageBreakBefore w:val="0"/>
        <w:widowControl w:val="0"/>
        <w:kinsoku/>
        <w:wordWrap/>
        <w:overflowPunct/>
        <w:topLinePunct w:val="0"/>
        <w:autoSpaceDE/>
        <w:autoSpaceDN/>
        <w:bidi w:val="0"/>
        <w:adjustRightInd/>
        <w:snapToGrid/>
        <w:spacing w:line="600" w:lineRule="exact"/>
        <w:ind w:firstLine="640"/>
        <w:textAlignment w:val="auto"/>
        <w:rPr>
          <w:rFonts w:hint="eastAsia" w:ascii="Times New Roman" w:hAnsi="Times New Roman" w:eastAsia="仿宋_GB2312" w:cs="仿宋_GB2312"/>
          <w:color w:val="000000" w:themeColor="text1"/>
          <w:sz w:val="32"/>
          <w:szCs w:val="32"/>
          <w14:textFill>
            <w14:solidFill>
              <w14:schemeClr w14:val="tx1"/>
            </w14:solidFill>
          </w14:textFill>
        </w:rPr>
      </w:pPr>
      <w:r>
        <w:rPr>
          <w:rFonts w:hint="eastAsia" w:ascii="Times New Roman" w:hAnsi="Times New Roman" w:eastAsia="仿宋_GB2312" w:cs="仿宋_GB2312"/>
          <w:color w:val="000000" w:themeColor="text1"/>
          <w:sz w:val="32"/>
          <w:szCs w:val="32"/>
          <w14:textFill>
            <w14:solidFill>
              <w14:schemeClr w14:val="tx1"/>
            </w14:solidFill>
          </w14:textFill>
        </w:rPr>
        <w:t>2025年度政府性基金预算财政拨款支出219.06万元，占本年支出合计19,284.19万元的1.1%。与上年度相比，政府性基金预算财政拨款支出增加178.61万元，增长441.6%。主要变动原因是攀枝花市粮食质量检验监测中心实验室改造项目、设备添置及运行经费增加。</w:t>
      </w:r>
    </w:p>
    <w:p w14:paraId="32A2C787">
      <w:pPr>
        <w:keepNext w:val="0"/>
        <w:keepLines w:val="0"/>
        <w:pageBreakBefore w:val="0"/>
        <w:widowControl w:val="0"/>
        <w:kinsoku/>
        <w:wordWrap/>
        <w:overflowPunct/>
        <w:topLinePunct w:val="0"/>
        <w:autoSpaceDE/>
        <w:autoSpaceDN/>
        <w:bidi w:val="0"/>
        <w:adjustRightInd/>
        <w:snapToGrid/>
        <w:spacing w:line="600" w:lineRule="exact"/>
        <w:ind w:left="630"/>
        <w:textAlignment w:val="auto"/>
        <w:outlineLvl w:val="1"/>
        <w:rPr>
          <w:rStyle w:val="30"/>
          <w:rFonts w:hint="eastAsia" w:ascii="黑体" w:hAnsi="黑体" w:eastAsia="黑体" w:cs="黑体"/>
          <w:b w:val="0"/>
          <w:color w:val="000000" w:themeColor="text1"/>
          <w:sz w:val="32"/>
          <w14:textFill>
            <w14:solidFill>
              <w14:schemeClr w14:val="tx1"/>
            </w14:solidFill>
          </w14:textFill>
        </w:rPr>
      </w:pPr>
      <w:bookmarkStart w:id="54" w:name="_Toc15377219"/>
      <w:bookmarkStart w:id="55" w:name="_Toc7232"/>
      <w:bookmarkStart w:id="56" w:name="_Toc15396611"/>
      <w:r>
        <w:rPr>
          <w:rStyle w:val="30"/>
          <w:rFonts w:hint="eastAsia" w:ascii="黑体" w:hAnsi="黑体" w:eastAsia="黑体" w:cs="黑体"/>
          <w:b w:val="0"/>
          <w:color w:val="000000" w:themeColor="text1"/>
          <w:sz w:val="32"/>
          <w14:textFill>
            <w14:solidFill>
              <w14:schemeClr w14:val="tx1"/>
            </w14:solidFill>
          </w14:textFill>
        </w:rPr>
        <w:t>九、国有资本经营预算支出决算情况说明</w:t>
      </w:r>
      <w:bookmarkEnd w:id="54"/>
      <w:bookmarkEnd w:id="55"/>
      <w:bookmarkEnd w:id="56"/>
    </w:p>
    <w:p w14:paraId="7ABB368E">
      <w:pPr>
        <w:keepNext w:val="0"/>
        <w:keepLines w:val="0"/>
        <w:pageBreakBefore w:val="0"/>
        <w:widowControl w:val="0"/>
        <w:kinsoku/>
        <w:wordWrap/>
        <w:overflowPunct/>
        <w:topLinePunct w:val="0"/>
        <w:autoSpaceDE/>
        <w:autoSpaceDN/>
        <w:bidi w:val="0"/>
        <w:adjustRightInd/>
        <w:snapToGrid/>
        <w:spacing w:line="600" w:lineRule="exact"/>
        <w:ind w:firstLine="640"/>
        <w:textAlignment w:val="auto"/>
        <w:rPr>
          <w:rFonts w:hint="eastAsia" w:ascii="Times New Roman" w:hAnsi="Times New Roman" w:eastAsia="仿宋_GB2312" w:cs="仿宋_GB2312"/>
          <w:color w:val="000000" w:themeColor="text1"/>
          <w:sz w:val="32"/>
          <w:szCs w:val="32"/>
          <w14:textFill>
            <w14:solidFill>
              <w14:schemeClr w14:val="tx1"/>
            </w14:solidFill>
          </w14:textFill>
        </w:rPr>
      </w:pPr>
      <w:r>
        <w:rPr>
          <w:rFonts w:hint="eastAsia" w:ascii="Times New Roman" w:hAnsi="Times New Roman" w:eastAsia="仿宋_GB2312" w:cs="仿宋_GB2312"/>
          <w:color w:val="000000" w:themeColor="text1"/>
          <w:sz w:val="32"/>
          <w:szCs w:val="32"/>
          <w14:textFill>
            <w14:solidFill>
              <w14:schemeClr w14:val="tx1"/>
            </w14:solidFill>
          </w14:textFill>
        </w:rPr>
        <w:t>2025年度国有资本经营预算财政拨款支出0万元，占本年支出合计的0%。与上年度相比，国有资本经营预算财政拨款支出与上年持平。</w:t>
      </w:r>
    </w:p>
    <w:p w14:paraId="683F8A1B">
      <w:pPr>
        <w:keepNext w:val="0"/>
        <w:keepLines w:val="0"/>
        <w:pageBreakBefore w:val="0"/>
        <w:widowControl w:val="0"/>
        <w:kinsoku/>
        <w:wordWrap/>
        <w:overflowPunct/>
        <w:topLinePunct w:val="0"/>
        <w:autoSpaceDE/>
        <w:autoSpaceDN/>
        <w:bidi w:val="0"/>
        <w:adjustRightInd/>
        <w:snapToGrid/>
        <w:spacing w:line="600" w:lineRule="exact"/>
        <w:ind w:left="630"/>
        <w:textAlignment w:val="auto"/>
        <w:outlineLvl w:val="1"/>
        <w:rPr>
          <w:rStyle w:val="30"/>
          <w:rFonts w:hint="eastAsia" w:ascii="黑体" w:hAnsi="黑体" w:eastAsia="黑体" w:cs="黑体"/>
          <w:b w:val="0"/>
          <w:color w:val="000000" w:themeColor="text1"/>
          <w:sz w:val="32"/>
          <w14:textFill>
            <w14:solidFill>
              <w14:schemeClr w14:val="tx1"/>
            </w14:solidFill>
          </w14:textFill>
        </w:rPr>
      </w:pPr>
      <w:bookmarkStart w:id="57" w:name="_Toc15377221"/>
      <w:bookmarkStart w:id="58" w:name="_Toc11860"/>
      <w:bookmarkStart w:id="59" w:name="_Toc15396612"/>
      <w:r>
        <w:rPr>
          <w:rStyle w:val="30"/>
          <w:rFonts w:hint="eastAsia" w:ascii="黑体" w:hAnsi="黑体" w:eastAsia="黑体" w:cs="黑体"/>
          <w:b w:val="0"/>
          <w:color w:val="000000" w:themeColor="text1"/>
          <w:sz w:val="32"/>
          <w14:textFill>
            <w14:solidFill>
              <w14:schemeClr w14:val="tx1"/>
            </w14:solidFill>
          </w14:textFill>
        </w:rPr>
        <w:t>十、其他重要事项的情况说明</w:t>
      </w:r>
      <w:bookmarkEnd w:id="57"/>
      <w:bookmarkEnd w:id="58"/>
      <w:bookmarkEnd w:id="59"/>
    </w:p>
    <w:p w14:paraId="6EFBBAB1">
      <w:pPr>
        <w:keepNext w:val="0"/>
        <w:keepLines w:val="0"/>
        <w:pageBreakBefore w:val="0"/>
        <w:widowControl w:val="0"/>
        <w:kinsoku/>
        <w:wordWrap/>
        <w:overflowPunct/>
        <w:topLinePunct w:val="0"/>
        <w:autoSpaceDE/>
        <w:autoSpaceDN/>
        <w:bidi w:val="0"/>
        <w:adjustRightInd/>
        <w:snapToGrid/>
        <w:spacing w:line="600" w:lineRule="exact"/>
        <w:ind w:firstLine="643" w:firstLineChars="200"/>
        <w:jc w:val="both"/>
        <w:textAlignment w:val="auto"/>
        <w:outlineLvl w:val="2"/>
        <w:rPr>
          <w:rFonts w:hint="eastAsia" w:eastAsia="楷体_GB2312" w:cs="楷体_GB2312"/>
          <w:b/>
          <w:color w:val="000000" w:themeColor="text1"/>
          <w:sz w:val="32"/>
          <w:szCs w:val="32"/>
          <w14:textFill>
            <w14:solidFill>
              <w14:schemeClr w14:val="tx1"/>
            </w14:solidFill>
          </w14:textFill>
        </w:rPr>
      </w:pPr>
      <w:bookmarkStart w:id="60" w:name="_Toc15377222"/>
      <w:r>
        <w:rPr>
          <w:rFonts w:hint="eastAsia" w:eastAsia="楷体_GB2312" w:cs="楷体_GB2312"/>
          <w:b/>
          <w:color w:val="000000" w:themeColor="text1"/>
          <w:sz w:val="32"/>
          <w:szCs w:val="32"/>
          <w14:textFill>
            <w14:solidFill>
              <w14:schemeClr w14:val="tx1"/>
            </w14:solidFill>
          </w14:textFill>
        </w:rPr>
        <w:t>（一）机关运行经费支出情况</w:t>
      </w:r>
      <w:bookmarkEnd w:id="60"/>
    </w:p>
    <w:p w14:paraId="79DDFAA4">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2"/>
        <w:rPr>
          <w:rFonts w:hint="eastAsia" w:ascii="Times New Roman" w:hAnsi="Times New Roman" w:eastAsia="仿宋_GB2312" w:cs="仿宋_GB2312"/>
          <w:color w:val="000000" w:themeColor="text1"/>
          <w:sz w:val="32"/>
          <w:szCs w:val="32"/>
          <w14:textFill>
            <w14:solidFill>
              <w14:schemeClr w14:val="tx1"/>
            </w14:solidFill>
          </w14:textFill>
        </w:rPr>
      </w:pPr>
      <w:r>
        <w:rPr>
          <w:rFonts w:hint="eastAsia" w:ascii="Times New Roman" w:hAnsi="Times New Roman" w:eastAsia="仿宋_GB2312" w:cs="仿宋_GB2312"/>
          <w:color w:val="000000" w:themeColor="text1"/>
          <w:sz w:val="32"/>
          <w:szCs w:val="32"/>
          <w14:textFill>
            <w14:solidFill>
              <w14:schemeClr w14:val="tx1"/>
            </w14:solidFill>
          </w14:textFill>
        </w:rPr>
        <w:t>2025年度，攀枝花市发展和改革委员会机关运行经费支出276.4万元，比上年度增加16.39万元，增长6.3%。主要原因是因工作需要及人员增加，2025年度的会议费、水电费、物业管理费、租赁费、邮电费、其他交通费用支出较2024年度均有所增加，导致机关运行经费支出增加。</w:t>
      </w:r>
    </w:p>
    <w:p w14:paraId="31C4F7DD">
      <w:pPr>
        <w:keepNext w:val="0"/>
        <w:keepLines w:val="0"/>
        <w:pageBreakBefore w:val="0"/>
        <w:widowControl w:val="0"/>
        <w:kinsoku/>
        <w:wordWrap/>
        <w:overflowPunct/>
        <w:topLinePunct w:val="0"/>
        <w:autoSpaceDE/>
        <w:autoSpaceDN/>
        <w:bidi w:val="0"/>
        <w:adjustRightInd/>
        <w:snapToGrid/>
        <w:spacing w:line="600" w:lineRule="exact"/>
        <w:ind w:firstLine="643" w:firstLineChars="200"/>
        <w:jc w:val="both"/>
        <w:textAlignment w:val="auto"/>
        <w:outlineLvl w:val="2"/>
        <w:rPr>
          <w:rFonts w:hint="eastAsia" w:eastAsia="楷体_GB2312" w:cs="楷体_GB2312"/>
          <w:b/>
          <w:color w:val="000000" w:themeColor="text1"/>
          <w:sz w:val="32"/>
          <w:szCs w:val="32"/>
          <w14:textFill>
            <w14:solidFill>
              <w14:schemeClr w14:val="tx1"/>
            </w14:solidFill>
          </w14:textFill>
        </w:rPr>
      </w:pPr>
      <w:bookmarkStart w:id="61" w:name="_Toc15377223"/>
      <w:r>
        <w:rPr>
          <w:rFonts w:hint="eastAsia" w:eastAsia="楷体_GB2312" w:cs="楷体_GB2312"/>
          <w:b/>
          <w:color w:val="000000" w:themeColor="text1"/>
          <w:sz w:val="32"/>
          <w:szCs w:val="32"/>
          <w14:textFill>
            <w14:solidFill>
              <w14:schemeClr w14:val="tx1"/>
            </w14:solidFill>
          </w14:textFill>
        </w:rPr>
        <w:t>（二）政府采购支出情况</w:t>
      </w:r>
      <w:bookmarkEnd w:id="61"/>
    </w:p>
    <w:p w14:paraId="2A4D1FAD">
      <w:pPr>
        <w:keepNext w:val="0"/>
        <w:keepLines w:val="0"/>
        <w:pageBreakBefore w:val="0"/>
        <w:widowControl w:val="0"/>
        <w:kinsoku/>
        <w:wordWrap/>
        <w:overflowPunct/>
        <w:topLinePunct w:val="0"/>
        <w:autoSpaceDE/>
        <w:autoSpaceDN/>
        <w:bidi w:val="0"/>
        <w:adjustRightInd/>
        <w:snapToGrid/>
        <w:spacing w:line="600" w:lineRule="exact"/>
        <w:ind w:firstLine="640"/>
        <w:textAlignment w:val="auto"/>
        <w:rPr>
          <w:rFonts w:hint="eastAsia" w:ascii="Times New Roman" w:hAnsi="Times New Roman" w:eastAsia="仿宋_GB2312" w:cs="仿宋_GB2312"/>
          <w:color w:val="000000" w:themeColor="text1"/>
          <w:sz w:val="32"/>
          <w:szCs w:val="32"/>
          <w14:textFill>
            <w14:solidFill>
              <w14:schemeClr w14:val="tx1"/>
            </w14:solidFill>
          </w14:textFill>
        </w:rPr>
      </w:pPr>
      <w:r>
        <w:rPr>
          <w:rFonts w:hint="eastAsia" w:ascii="Times New Roman" w:hAnsi="Times New Roman" w:eastAsia="仿宋_GB2312" w:cs="仿宋_GB2312"/>
          <w:color w:val="000000" w:themeColor="text1"/>
          <w:sz w:val="32"/>
          <w:szCs w:val="32"/>
          <w14:textFill>
            <w14:solidFill>
              <w14:schemeClr w14:val="tx1"/>
            </w14:solidFill>
          </w14:textFill>
        </w:rPr>
        <w:t>2025年度，攀枝花市发展和改革委员会政府采购支出总额392.68万元，其中：政府采购货物支出131.13万元、政府采购工程支出0万元、政府采购服务支出261.55万元。主要用于攀枝花市粮食质量检验监测中心实验室改造项目、设备添置及运行、昭攀铁路（攀枝花段）可行性研究报告编制、攀枝花市公共信用信息共享平台项目服务费、公务用车运行维护费等方面支出。授予中小企业合同金额245.33万元，占政府采购支出总额的62.5%，其中：授予小微企业合同金额245.33万元，占政府采购支出总额的62.5%。</w:t>
      </w:r>
    </w:p>
    <w:p w14:paraId="2F354828">
      <w:pPr>
        <w:keepNext w:val="0"/>
        <w:keepLines w:val="0"/>
        <w:pageBreakBefore w:val="0"/>
        <w:widowControl w:val="0"/>
        <w:kinsoku/>
        <w:wordWrap/>
        <w:overflowPunct/>
        <w:topLinePunct w:val="0"/>
        <w:autoSpaceDE/>
        <w:autoSpaceDN/>
        <w:bidi w:val="0"/>
        <w:adjustRightInd/>
        <w:snapToGrid/>
        <w:spacing w:line="600" w:lineRule="exact"/>
        <w:ind w:firstLine="643" w:firstLineChars="200"/>
        <w:jc w:val="both"/>
        <w:textAlignment w:val="auto"/>
        <w:outlineLvl w:val="2"/>
        <w:rPr>
          <w:rFonts w:hint="eastAsia" w:eastAsia="楷体_GB2312" w:cs="楷体_GB2312"/>
          <w:b/>
          <w:color w:val="000000" w:themeColor="text1"/>
          <w:sz w:val="32"/>
          <w:szCs w:val="32"/>
          <w14:textFill>
            <w14:solidFill>
              <w14:schemeClr w14:val="tx1"/>
            </w14:solidFill>
          </w14:textFill>
        </w:rPr>
      </w:pPr>
      <w:bookmarkStart w:id="62" w:name="_Toc15377224"/>
      <w:r>
        <w:rPr>
          <w:rFonts w:hint="eastAsia" w:eastAsia="楷体_GB2312" w:cs="楷体_GB2312"/>
          <w:b/>
          <w:color w:val="000000" w:themeColor="text1"/>
          <w:sz w:val="32"/>
          <w:szCs w:val="32"/>
          <w14:textFill>
            <w14:solidFill>
              <w14:schemeClr w14:val="tx1"/>
            </w14:solidFill>
          </w14:textFill>
        </w:rPr>
        <w:t>（三）国有资产占有使用情况</w:t>
      </w:r>
      <w:bookmarkEnd w:id="62"/>
    </w:p>
    <w:p w14:paraId="6D9DA10E">
      <w:pPr>
        <w:keepNext w:val="0"/>
        <w:keepLines w:val="0"/>
        <w:pageBreakBefore w:val="0"/>
        <w:widowControl w:val="0"/>
        <w:kinsoku/>
        <w:wordWrap/>
        <w:overflowPunct/>
        <w:topLinePunct w:val="0"/>
        <w:autoSpaceDE/>
        <w:autoSpaceDN/>
        <w:bidi w:val="0"/>
        <w:adjustRightInd/>
        <w:snapToGrid/>
        <w:spacing w:line="600" w:lineRule="exact"/>
        <w:ind w:firstLine="640"/>
        <w:textAlignment w:val="auto"/>
        <w:rPr>
          <w:rFonts w:hint="eastAsia" w:ascii="Times New Roman" w:hAnsi="Times New Roman" w:eastAsia="仿宋_GB2312" w:cs="仿宋_GB2312"/>
          <w:color w:val="000000" w:themeColor="text1"/>
          <w:sz w:val="32"/>
          <w:szCs w:val="32"/>
          <w14:textFill>
            <w14:solidFill>
              <w14:schemeClr w14:val="tx1"/>
            </w14:solidFill>
          </w14:textFill>
        </w:rPr>
      </w:pPr>
      <w:r>
        <w:rPr>
          <w:rFonts w:hint="eastAsia" w:ascii="Times New Roman" w:hAnsi="Times New Roman" w:eastAsia="仿宋_GB2312" w:cs="仿宋_GB2312"/>
          <w:color w:val="000000" w:themeColor="text1"/>
          <w:sz w:val="32"/>
          <w:szCs w:val="32"/>
          <w14:textFill>
            <w14:solidFill>
              <w14:schemeClr w14:val="tx1"/>
            </w14:solidFill>
          </w14:textFill>
        </w:rPr>
        <w:t>截至2025年12月31日，攀枝花市发展和改革委员会共有车辆5辆，其中：副部（省）级及以上领导用车0辆、主要负责人用车0辆、机要通信用车0辆、应急保障用车0辆、执法执勤用车0辆、特种专业技术用车0辆、离退休干部服务用车0辆、其他用车5辆，其他用车主要用于开展重大项目、共富试验区建设调研、粮食应急物资储备管理检查、安全生产督导检查等工作。单价100万元（含）以上设备（不含车辆）0台（套）。</w:t>
      </w:r>
    </w:p>
    <w:p w14:paraId="1D179BAB">
      <w:pPr>
        <w:keepNext w:val="0"/>
        <w:keepLines w:val="0"/>
        <w:pageBreakBefore w:val="0"/>
        <w:widowControl w:val="0"/>
        <w:kinsoku/>
        <w:wordWrap/>
        <w:overflowPunct/>
        <w:topLinePunct w:val="0"/>
        <w:autoSpaceDE/>
        <w:autoSpaceDN/>
        <w:bidi w:val="0"/>
        <w:adjustRightInd/>
        <w:snapToGrid/>
        <w:spacing w:line="600" w:lineRule="exact"/>
        <w:ind w:firstLine="643" w:firstLineChars="200"/>
        <w:jc w:val="both"/>
        <w:textAlignment w:val="auto"/>
        <w:outlineLvl w:val="2"/>
        <w:rPr>
          <w:rFonts w:hint="eastAsia" w:eastAsia="楷体_GB2312" w:cs="楷体_GB2312"/>
          <w:b/>
          <w:color w:val="000000" w:themeColor="text1"/>
          <w:sz w:val="32"/>
          <w:szCs w:val="32"/>
          <w14:textFill>
            <w14:solidFill>
              <w14:schemeClr w14:val="tx1"/>
            </w14:solidFill>
          </w14:textFill>
        </w:rPr>
      </w:pPr>
      <w:r>
        <w:rPr>
          <w:rFonts w:hint="eastAsia" w:eastAsia="楷体_GB2312" w:cs="楷体_GB2312"/>
          <w:b/>
          <w:color w:val="000000" w:themeColor="text1"/>
          <w:sz w:val="32"/>
          <w:szCs w:val="32"/>
          <w14:textFill>
            <w14:solidFill>
              <w14:schemeClr w14:val="tx1"/>
            </w14:solidFill>
          </w14:textFill>
        </w:rPr>
        <w:t>（四）预算绩效管理情况</w:t>
      </w:r>
    </w:p>
    <w:p w14:paraId="1FDBD5AA">
      <w:pPr>
        <w:keepNext w:val="0"/>
        <w:keepLines w:val="0"/>
        <w:pageBreakBefore w:val="0"/>
        <w:widowControl w:val="0"/>
        <w:kinsoku/>
        <w:wordWrap/>
        <w:overflowPunct/>
        <w:topLinePunct w:val="0"/>
        <w:autoSpaceDE/>
        <w:autoSpaceDN/>
        <w:bidi w:val="0"/>
        <w:adjustRightInd/>
        <w:snapToGrid/>
        <w:spacing w:line="600" w:lineRule="exact"/>
        <w:ind w:firstLine="640"/>
        <w:textAlignment w:val="auto"/>
        <w:rPr>
          <w:rFonts w:hint="eastAsia" w:ascii="Times New Roman" w:hAnsi="Times New Roman" w:eastAsia="仿宋_GB2312" w:cs="仿宋_GB2312"/>
          <w:color w:val="000000" w:themeColor="text1"/>
          <w:sz w:val="32"/>
          <w:szCs w:val="32"/>
          <w14:textFill>
            <w14:solidFill>
              <w14:schemeClr w14:val="tx1"/>
            </w14:solidFill>
          </w14:textFill>
        </w:rPr>
      </w:pPr>
      <w:r>
        <w:rPr>
          <w:rFonts w:hint="eastAsia" w:ascii="Times New Roman" w:hAnsi="Times New Roman" w:eastAsia="仿宋_GB2312" w:cs="仿宋_GB2312"/>
          <w:color w:val="000000" w:themeColor="text1"/>
          <w:sz w:val="32"/>
          <w:szCs w:val="32"/>
          <w14:textFill>
            <w14:solidFill>
              <w14:schemeClr w14:val="tx1"/>
            </w14:solidFill>
          </w14:textFill>
        </w:rPr>
        <w:t>根据预算绩效管理要求，市发展改革委在2025年度，组织对攀枝花市粮食质量检验监测中心实验室改造项目等23个项目涉及金额1244.62万元开展了事前绩效评估，对23个项目编制了绩效目标，预算执行过程中，开展了绩效监控。</w:t>
      </w:r>
    </w:p>
    <w:p w14:paraId="370CB32D">
      <w:pPr>
        <w:keepNext w:val="0"/>
        <w:keepLines w:val="0"/>
        <w:pageBreakBefore w:val="0"/>
        <w:widowControl w:val="0"/>
        <w:kinsoku/>
        <w:wordWrap/>
        <w:overflowPunct/>
        <w:topLinePunct w:val="0"/>
        <w:autoSpaceDE/>
        <w:autoSpaceDN/>
        <w:bidi w:val="0"/>
        <w:adjustRightInd/>
        <w:snapToGrid/>
        <w:spacing w:line="600" w:lineRule="exact"/>
        <w:ind w:firstLine="640"/>
        <w:textAlignment w:val="auto"/>
        <w:rPr>
          <w:rFonts w:hint="eastAsia" w:ascii="Times New Roman" w:hAnsi="Times New Roman" w:eastAsia="仿宋_GB2312" w:cs="仿宋_GB2312"/>
          <w:color w:val="000000" w:themeColor="text1"/>
          <w:sz w:val="32"/>
          <w:szCs w:val="32"/>
          <w14:textFill>
            <w14:solidFill>
              <w14:schemeClr w14:val="tx1"/>
            </w14:solidFill>
          </w14:textFill>
        </w:rPr>
      </w:pPr>
      <w:r>
        <w:rPr>
          <w:rFonts w:hint="eastAsia" w:ascii="Times New Roman" w:hAnsi="Times New Roman" w:eastAsia="仿宋_GB2312" w:cs="仿宋_GB2312"/>
          <w:color w:val="000000" w:themeColor="text1"/>
          <w:sz w:val="32"/>
          <w:szCs w:val="32"/>
          <w14:textFill>
            <w14:solidFill>
              <w14:schemeClr w14:val="tx1"/>
            </w14:solidFill>
          </w14:textFill>
        </w:rPr>
        <w:t>组织对2025年度一般公共预算、政府性基金预算、国有资本经营预算、社会保险基金预算以及资本资产、债券资金等全面开展绩效自评，形成市发展改革委部门预算（含部门预算项目）绩效自评报告、攀枝花市粮食质量检验监测中心实验室改造等专项预算项目绩效自评报告，其中，市发展改革委部门预算（含部门预算项目）绩效自评得分为95.7分，绩效自评综述：</w:t>
      </w:r>
    </w:p>
    <w:p w14:paraId="0DBDA9DC">
      <w:pPr>
        <w:pStyle w:val="8"/>
        <w:keepNext w:val="0"/>
        <w:keepLines w:val="0"/>
        <w:pageBreakBefore w:val="0"/>
        <w:widowControl w:val="0"/>
        <w:kinsoku/>
        <w:wordWrap/>
        <w:overflowPunct/>
        <w:topLinePunct w:val="0"/>
        <w:autoSpaceDE/>
        <w:autoSpaceDN/>
        <w:bidi w:val="0"/>
        <w:adjustRightInd/>
        <w:snapToGrid/>
        <w:spacing w:after="0" w:line="600" w:lineRule="exact"/>
        <w:ind w:left="0" w:leftChars="0" w:firstLine="640"/>
        <w:textAlignment w:val="auto"/>
        <w:rPr>
          <w:rFonts w:hint="eastAsia" w:ascii="Times New Roman" w:hAnsi="Times New Roman" w:eastAsia="仿宋_GB2312" w:cs="仿宋_GB2312"/>
          <w:color w:val="000000" w:themeColor="text1"/>
          <w:sz w:val="32"/>
          <w14:textFill>
            <w14:solidFill>
              <w14:schemeClr w14:val="tx1"/>
            </w14:solidFill>
          </w14:textFill>
        </w:rPr>
      </w:pPr>
      <w:r>
        <w:rPr>
          <w:rFonts w:hint="eastAsia" w:ascii="Times New Roman" w:hAnsi="Times New Roman" w:eastAsia="仿宋_GB2312" w:cs="仿宋_GB2312"/>
          <w:color w:val="000000" w:themeColor="text1"/>
          <w:sz w:val="32"/>
          <w14:textFill>
            <w14:solidFill>
              <w14:schemeClr w14:val="tx1"/>
            </w14:solidFill>
          </w14:textFill>
        </w:rPr>
        <w:t>1.总体绩效65分，我委自评得分61.2分，由以下五部分构成：</w:t>
      </w:r>
    </w:p>
    <w:p w14:paraId="4AAD5F47">
      <w:pPr>
        <w:keepNext w:val="0"/>
        <w:keepLines w:val="0"/>
        <w:pageBreakBefore w:val="0"/>
        <w:widowControl w:val="0"/>
        <w:kinsoku/>
        <w:wordWrap/>
        <w:overflowPunct/>
        <w:topLinePunct w:val="0"/>
        <w:autoSpaceDE/>
        <w:autoSpaceDN/>
        <w:bidi w:val="0"/>
        <w:adjustRightInd/>
        <w:snapToGrid/>
        <w:spacing w:line="600" w:lineRule="exact"/>
        <w:ind w:firstLine="640"/>
        <w:textAlignment w:val="auto"/>
        <w:rPr>
          <w:rFonts w:hint="eastAsia" w:ascii="Times New Roman" w:hAnsi="Times New Roman" w:eastAsia="仿宋_GB2312" w:cs="仿宋_GB2312"/>
          <w:color w:val="000000" w:themeColor="text1"/>
          <w:sz w:val="32"/>
          <w:szCs w:val="32"/>
          <w14:textFill>
            <w14:solidFill>
              <w14:schemeClr w14:val="tx1"/>
            </w14:solidFill>
          </w14:textFill>
        </w:rPr>
      </w:pPr>
      <w:r>
        <w:rPr>
          <w:rFonts w:hint="eastAsia" w:ascii="Times New Roman" w:hAnsi="Times New Roman" w:eastAsia="仿宋_GB2312" w:cs="仿宋_GB2312"/>
          <w:color w:val="000000" w:themeColor="text1"/>
          <w:sz w:val="32"/>
          <w:szCs w:val="32"/>
          <w14:textFill>
            <w14:solidFill>
              <w14:schemeClr w14:val="tx1"/>
            </w14:solidFill>
          </w14:textFill>
        </w:rPr>
        <w:t>履职效能：统筹全市宏观经济运行履职效果、推进共同富裕试验区建设履职效果、高效推进项目投资履职效果、促进能源绿色转型发展履职效果、推动攀西试验区建设履职效果等评价得分15分；</w:t>
      </w:r>
    </w:p>
    <w:p w14:paraId="724089E7">
      <w:pPr>
        <w:keepNext w:val="0"/>
        <w:keepLines w:val="0"/>
        <w:pageBreakBefore w:val="0"/>
        <w:widowControl w:val="0"/>
        <w:kinsoku/>
        <w:wordWrap/>
        <w:overflowPunct/>
        <w:topLinePunct w:val="0"/>
        <w:autoSpaceDE/>
        <w:autoSpaceDN/>
        <w:bidi w:val="0"/>
        <w:adjustRightInd/>
        <w:snapToGrid/>
        <w:spacing w:line="600" w:lineRule="exact"/>
        <w:ind w:firstLine="640"/>
        <w:textAlignment w:val="auto"/>
        <w:rPr>
          <w:rFonts w:hint="eastAsia" w:ascii="Times New Roman" w:hAnsi="Times New Roman" w:eastAsia="仿宋_GB2312" w:cs="仿宋_GB2312"/>
          <w:color w:val="000000" w:themeColor="text1"/>
          <w:sz w:val="32"/>
          <w:szCs w:val="32"/>
          <w14:textFill>
            <w14:solidFill>
              <w14:schemeClr w14:val="tx1"/>
            </w14:solidFill>
          </w14:textFill>
        </w:rPr>
      </w:pPr>
      <w:r>
        <w:rPr>
          <w:rFonts w:hint="eastAsia" w:ascii="Times New Roman" w:hAnsi="Times New Roman" w:eastAsia="仿宋_GB2312" w:cs="仿宋_GB2312"/>
          <w:color w:val="000000" w:themeColor="text1"/>
          <w:sz w:val="32"/>
          <w:szCs w:val="32"/>
          <w14:textFill>
            <w14:solidFill>
              <w14:schemeClr w14:val="tx1"/>
            </w14:solidFill>
          </w14:textFill>
        </w:rPr>
        <w:t>预算管理：预算编制质量、支出执行进度、预算年终结余、严控一般性支出等评价得分20.3分；</w:t>
      </w:r>
    </w:p>
    <w:p w14:paraId="44228D98">
      <w:pPr>
        <w:keepNext w:val="0"/>
        <w:keepLines w:val="0"/>
        <w:pageBreakBefore w:val="0"/>
        <w:widowControl w:val="0"/>
        <w:kinsoku/>
        <w:wordWrap/>
        <w:overflowPunct/>
        <w:topLinePunct w:val="0"/>
        <w:autoSpaceDE/>
        <w:autoSpaceDN/>
        <w:bidi w:val="0"/>
        <w:adjustRightInd/>
        <w:snapToGrid/>
        <w:spacing w:line="600" w:lineRule="exact"/>
        <w:ind w:firstLine="640"/>
        <w:textAlignment w:val="auto"/>
        <w:rPr>
          <w:rFonts w:hint="eastAsia" w:ascii="Times New Roman" w:hAnsi="Times New Roman" w:eastAsia="仿宋_GB2312" w:cs="仿宋_GB2312"/>
          <w:color w:val="000000" w:themeColor="text1"/>
          <w:sz w:val="32"/>
          <w:szCs w:val="32"/>
          <w14:textFill>
            <w14:solidFill>
              <w14:schemeClr w14:val="tx1"/>
            </w14:solidFill>
          </w14:textFill>
        </w:rPr>
      </w:pPr>
      <w:r>
        <w:rPr>
          <w:rFonts w:hint="eastAsia" w:ascii="Times New Roman" w:hAnsi="Times New Roman" w:eastAsia="仿宋_GB2312" w:cs="仿宋_GB2312"/>
          <w:color w:val="000000" w:themeColor="text1"/>
          <w:sz w:val="32"/>
          <w:szCs w:val="32"/>
          <w14:textFill>
            <w14:solidFill>
              <w14:schemeClr w14:val="tx1"/>
            </w14:solidFill>
          </w14:textFill>
        </w:rPr>
        <w:t>财务管理：财务管理制度、财务岗位设置、资金使用规范等评价得分12分；</w:t>
      </w:r>
    </w:p>
    <w:p w14:paraId="2EF5A3DD">
      <w:pPr>
        <w:keepNext w:val="0"/>
        <w:keepLines w:val="0"/>
        <w:pageBreakBefore w:val="0"/>
        <w:widowControl w:val="0"/>
        <w:kinsoku/>
        <w:wordWrap/>
        <w:overflowPunct/>
        <w:topLinePunct w:val="0"/>
        <w:autoSpaceDE/>
        <w:autoSpaceDN/>
        <w:bidi w:val="0"/>
        <w:adjustRightInd/>
        <w:snapToGrid/>
        <w:spacing w:line="600" w:lineRule="exact"/>
        <w:ind w:firstLine="640"/>
        <w:textAlignment w:val="auto"/>
        <w:rPr>
          <w:rFonts w:hint="eastAsia" w:ascii="Times New Roman" w:hAnsi="Times New Roman" w:eastAsia="仿宋_GB2312" w:cs="仿宋_GB2312"/>
          <w:color w:val="000000" w:themeColor="text1"/>
          <w:sz w:val="32"/>
          <w:szCs w:val="32"/>
          <w14:textFill>
            <w14:solidFill>
              <w14:schemeClr w14:val="tx1"/>
            </w14:solidFill>
          </w14:textFill>
        </w:rPr>
      </w:pPr>
      <w:r>
        <w:rPr>
          <w:rFonts w:hint="eastAsia" w:ascii="Times New Roman" w:hAnsi="Times New Roman" w:eastAsia="仿宋_GB2312" w:cs="仿宋_GB2312"/>
          <w:color w:val="000000" w:themeColor="text1"/>
          <w:sz w:val="32"/>
          <w:szCs w:val="32"/>
          <w14:textFill>
            <w14:solidFill>
              <w14:schemeClr w14:val="tx1"/>
            </w14:solidFill>
          </w14:textFill>
        </w:rPr>
        <w:t>资产管理：人均资产变化率、资产利用率、资产盘活率等评价得分8.6分；</w:t>
      </w:r>
    </w:p>
    <w:p w14:paraId="36489129">
      <w:pPr>
        <w:keepNext w:val="0"/>
        <w:keepLines w:val="0"/>
        <w:pageBreakBefore w:val="0"/>
        <w:widowControl w:val="0"/>
        <w:kinsoku/>
        <w:wordWrap/>
        <w:overflowPunct/>
        <w:topLinePunct w:val="0"/>
        <w:autoSpaceDE/>
        <w:autoSpaceDN/>
        <w:bidi w:val="0"/>
        <w:adjustRightInd/>
        <w:snapToGrid/>
        <w:spacing w:line="600" w:lineRule="exact"/>
        <w:ind w:firstLine="640"/>
        <w:textAlignment w:val="auto"/>
        <w:rPr>
          <w:rFonts w:hint="eastAsia" w:ascii="Times New Roman" w:hAnsi="Times New Roman" w:eastAsia="仿宋_GB2312" w:cs="仿宋_GB2312"/>
          <w:b/>
          <w:bCs/>
          <w:color w:val="000000" w:themeColor="text1"/>
          <w:sz w:val="32"/>
          <w:szCs w:val="32"/>
          <w14:textFill>
            <w14:solidFill>
              <w14:schemeClr w14:val="tx1"/>
            </w14:solidFill>
          </w14:textFill>
        </w:rPr>
      </w:pPr>
      <w:r>
        <w:rPr>
          <w:rFonts w:hint="eastAsia" w:ascii="Times New Roman" w:hAnsi="Times New Roman" w:eastAsia="仿宋_GB2312" w:cs="仿宋_GB2312"/>
          <w:color w:val="000000" w:themeColor="text1"/>
          <w:sz w:val="32"/>
          <w:szCs w:val="32"/>
          <w14:textFill>
            <w14:solidFill>
              <w14:schemeClr w14:val="tx1"/>
            </w14:solidFill>
          </w14:textFill>
        </w:rPr>
        <w:t>采购管理：支持中小企业发展、采购执行率等评价得分5.3分；</w:t>
      </w:r>
    </w:p>
    <w:p w14:paraId="2DBF09D9">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仿宋_GB2312"/>
          <w:color w:val="000000" w:themeColor="text1"/>
          <w:sz w:val="32"/>
          <w:szCs w:val="32"/>
          <w14:textFill>
            <w14:solidFill>
              <w14:schemeClr w14:val="tx1"/>
            </w14:solidFill>
          </w14:textFill>
        </w:rPr>
      </w:pPr>
      <w:r>
        <w:rPr>
          <w:rFonts w:hint="eastAsia" w:ascii="Times New Roman" w:hAnsi="Times New Roman" w:eastAsia="仿宋_GB2312" w:cs="仿宋_GB2312"/>
          <w:color w:val="000000" w:themeColor="text1"/>
          <w:sz w:val="32"/>
          <w:szCs w:val="32"/>
          <w14:textFill>
            <w14:solidFill>
              <w14:schemeClr w14:val="tx1"/>
            </w14:solidFill>
          </w14:textFill>
        </w:rPr>
        <w:t>2.项目绩效35分，我委自评得分34.5分，由以下三部分构成。项目决策：决策程序、目标设置、项目入库等评价得分12分；项目执行：执行同向、项目调整、执行结果等评价得分12分；目标实现：目标完成、目标偏离、实现效果等评价得分10.5分。</w:t>
      </w:r>
    </w:p>
    <w:p w14:paraId="7D249FB3">
      <w:pPr>
        <w:keepNext w:val="0"/>
        <w:keepLines w:val="0"/>
        <w:pageBreakBefore w:val="0"/>
        <w:widowControl w:val="0"/>
        <w:kinsoku/>
        <w:wordWrap/>
        <w:overflowPunct/>
        <w:topLinePunct w:val="0"/>
        <w:autoSpaceDE/>
        <w:autoSpaceDN/>
        <w:bidi w:val="0"/>
        <w:adjustRightInd/>
        <w:snapToGrid/>
        <w:spacing w:line="600" w:lineRule="exact"/>
        <w:ind w:firstLine="640"/>
        <w:textAlignment w:val="auto"/>
        <w:rPr>
          <w:rFonts w:hint="eastAsia" w:ascii="Times New Roman" w:hAnsi="Times New Roman" w:eastAsia="仿宋_GB2312" w:cs="仿宋_GB2312"/>
          <w:color w:val="000000" w:themeColor="text1"/>
          <w:sz w:val="32"/>
          <w:szCs w:val="32"/>
          <w14:textFill>
            <w14:solidFill>
              <w14:schemeClr w14:val="tx1"/>
            </w14:solidFill>
          </w14:textFill>
        </w:rPr>
      </w:pPr>
      <w:r>
        <w:rPr>
          <w:rFonts w:hint="eastAsia" w:ascii="Times New Roman" w:hAnsi="Times New Roman" w:eastAsia="仿宋_GB2312" w:cs="仿宋_GB2312"/>
          <w:color w:val="000000" w:themeColor="text1"/>
          <w:sz w:val="32"/>
          <w:szCs w:val="32"/>
          <w14:textFill>
            <w14:solidFill>
              <w14:schemeClr w14:val="tx1"/>
            </w14:solidFill>
          </w14:textFill>
        </w:rPr>
        <w:t>专项预算项目5个，绩效自评得分为：2025年政策性粮油储备等费用项目100分、规划及重大前期经费项目90分、攀枝花市粮食质量检验监测中心实验室改造项目92.63分、攀枝花市粮食质量检验监测中心实验室设备添置及运行项目100分、攀枝花市政务信息共享交换平台升级改造（新增政务数据直达专区功能）项目90分。绩效自评综述、绩效自评报告详见附件。</w:t>
      </w:r>
    </w:p>
    <w:p w14:paraId="00B94EB0">
      <w:pPr>
        <w:rPr>
          <w:rFonts w:eastAsia="仿宋_GB2312" w:cs="仿宋_GB2312"/>
          <w:color w:val="000000" w:themeColor="text1"/>
          <w:sz w:val="32"/>
          <w:szCs w:val="32"/>
          <w14:textFill>
            <w14:solidFill>
              <w14:schemeClr w14:val="tx1"/>
            </w14:solidFill>
          </w14:textFill>
        </w:rPr>
      </w:pPr>
      <w:r>
        <w:rPr>
          <w:rFonts w:hint="eastAsia" w:eastAsia="仿宋_GB2312" w:cs="仿宋_GB2312"/>
          <w:color w:val="000000" w:themeColor="text1"/>
          <w:sz w:val="32"/>
          <w:szCs w:val="32"/>
          <w14:textFill>
            <w14:solidFill>
              <w14:schemeClr w14:val="tx1"/>
            </w14:solidFill>
          </w14:textFill>
        </w:rPr>
        <w:br w:type="page"/>
      </w:r>
    </w:p>
    <w:p w14:paraId="72C727FC">
      <w:pPr>
        <w:spacing w:line="600" w:lineRule="exact"/>
        <w:ind w:firstLine="640"/>
        <w:rPr>
          <w:rFonts w:eastAsia="仿宋_GB2312" w:cs="仿宋_GB2312"/>
          <w:color w:val="000000" w:themeColor="text1"/>
          <w:sz w:val="32"/>
          <w:szCs w:val="32"/>
          <w14:textFill>
            <w14:solidFill>
              <w14:schemeClr w14:val="tx1"/>
            </w14:solidFill>
          </w14:textFill>
        </w:rPr>
      </w:pPr>
    </w:p>
    <w:p w14:paraId="60B163E1">
      <w:pPr>
        <w:keepNext w:val="0"/>
        <w:keepLines w:val="0"/>
        <w:pageBreakBefore w:val="0"/>
        <w:widowControl w:val="0"/>
        <w:kinsoku/>
        <w:wordWrap/>
        <w:overflowPunct/>
        <w:topLinePunct w:val="0"/>
        <w:autoSpaceDE/>
        <w:autoSpaceDN/>
        <w:bidi w:val="0"/>
        <w:adjustRightInd/>
        <w:snapToGrid/>
        <w:spacing w:line="600" w:lineRule="exact"/>
        <w:jc w:val="center"/>
        <w:textAlignment w:val="auto"/>
        <w:outlineLvl w:val="0"/>
        <w:rPr>
          <w:rFonts w:eastAsia="黑体"/>
          <w:color w:val="000000" w:themeColor="text1"/>
          <w:sz w:val="44"/>
          <w:szCs w:val="44"/>
          <w14:textFill>
            <w14:solidFill>
              <w14:schemeClr w14:val="tx1"/>
            </w14:solidFill>
          </w14:textFill>
        </w:rPr>
      </w:pPr>
      <w:bookmarkStart w:id="63" w:name="_Toc15396613"/>
      <w:bookmarkStart w:id="64" w:name="_Toc7104"/>
      <w:bookmarkStart w:id="65" w:name="_Toc15377225"/>
      <w:r>
        <w:rPr>
          <w:rFonts w:hint="eastAsia" w:eastAsia="黑体"/>
          <w:color w:val="000000" w:themeColor="text1"/>
          <w:sz w:val="44"/>
          <w:szCs w:val="44"/>
          <w14:textFill>
            <w14:solidFill>
              <w14:schemeClr w14:val="tx1"/>
            </w14:solidFill>
          </w14:textFill>
        </w:rPr>
        <w:t>第三部分  名词解释</w:t>
      </w:r>
      <w:bookmarkEnd w:id="63"/>
      <w:bookmarkEnd w:id="64"/>
      <w:bookmarkEnd w:id="65"/>
    </w:p>
    <w:p w14:paraId="0627DF37">
      <w:pPr>
        <w:spacing w:line="600" w:lineRule="exact"/>
        <w:jc w:val="left"/>
        <w:rPr>
          <w:b/>
          <w:color w:val="000000" w:themeColor="text1"/>
          <w:sz w:val="44"/>
          <w:szCs w:val="44"/>
          <w14:textFill>
            <w14:solidFill>
              <w14:schemeClr w14:val="tx1"/>
            </w14:solidFill>
          </w14:textFill>
        </w:rPr>
      </w:pPr>
    </w:p>
    <w:p w14:paraId="0AEECA95">
      <w:pPr>
        <w:keepNext w:val="0"/>
        <w:keepLines w:val="0"/>
        <w:pageBreakBefore w:val="0"/>
        <w:widowControl w:val="0"/>
        <w:kinsoku/>
        <w:wordWrap/>
        <w:overflowPunct/>
        <w:topLinePunct w:val="0"/>
        <w:autoSpaceDE/>
        <w:autoSpaceDN/>
        <w:bidi w:val="0"/>
        <w:adjustRightInd/>
        <w:spacing w:line="600" w:lineRule="exact"/>
        <w:ind w:firstLine="640"/>
        <w:textAlignment w:val="auto"/>
        <w:rPr>
          <w:rFonts w:hint="eastAsia" w:ascii="Times New Roman" w:hAnsi="Times New Roman" w:eastAsia="仿宋_GB2312" w:cs="仿宋_GB2312"/>
          <w:color w:val="000000" w:themeColor="text1"/>
          <w:sz w:val="32"/>
          <w:szCs w:val="32"/>
          <w14:textFill>
            <w14:solidFill>
              <w14:schemeClr w14:val="tx1"/>
            </w14:solidFill>
          </w14:textFill>
        </w:rPr>
      </w:pPr>
      <w:r>
        <w:rPr>
          <w:rFonts w:hint="eastAsia" w:ascii="Times New Roman" w:hAnsi="Times New Roman" w:eastAsia="仿宋_GB2312" w:cs="仿宋_GB2312"/>
          <w:color w:val="000000" w:themeColor="text1"/>
          <w:sz w:val="32"/>
          <w:szCs w:val="32"/>
          <w14:textFill>
            <w14:solidFill>
              <w14:schemeClr w14:val="tx1"/>
            </w14:solidFill>
          </w14:textFill>
        </w:rPr>
        <w:t>1.财政拨款收入：指单位从同级财政部门取得的财政预算资金。</w:t>
      </w:r>
    </w:p>
    <w:p w14:paraId="2E524087">
      <w:pPr>
        <w:keepNext w:val="0"/>
        <w:keepLines w:val="0"/>
        <w:pageBreakBefore w:val="0"/>
        <w:widowControl w:val="0"/>
        <w:kinsoku/>
        <w:wordWrap/>
        <w:overflowPunct/>
        <w:topLinePunct w:val="0"/>
        <w:autoSpaceDE/>
        <w:autoSpaceDN/>
        <w:bidi w:val="0"/>
        <w:adjustRightInd/>
        <w:spacing w:line="600" w:lineRule="exact"/>
        <w:ind w:firstLine="640" w:firstLineChars="200"/>
        <w:textAlignment w:val="auto"/>
        <w:rPr>
          <w:rFonts w:hint="eastAsia" w:ascii="Times New Roman" w:hAnsi="Times New Roman" w:eastAsia="仿宋_GB2312" w:cs="仿宋_GB2312"/>
          <w:color w:val="000000" w:themeColor="text1"/>
          <w:sz w:val="32"/>
          <w:szCs w:val="32"/>
          <w14:textFill>
            <w14:solidFill>
              <w14:schemeClr w14:val="tx1"/>
            </w14:solidFill>
          </w14:textFill>
        </w:rPr>
      </w:pPr>
      <w:r>
        <w:rPr>
          <w:rFonts w:hint="eastAsia" w:ascii="Times New Roman" w:hAnsi="Times New Roman" w:eastAsia="仿宋_GB2312" w:cs="仿宋_GB2312"/>
          <w:color w:val="000000" w:themeColor="text1"/>
          <w:sz w:val="32"/>
          <w:szCs w:val="32"/>
          <w14:textFill>
            <w14:solidFill>
              <w14:schemeClr w14:val="tx1"/>
            </w14:solidFill>
          </w14:textFill>
        </w:rPr>
        <w:t xml:space="preserve">2.其他收入：指单位取得的除上述收入以外的各项收入。 </w:t>
      </w:r>
    </w:p>
    <w:p w14:paraId="033E7CF5">
      <w:pPr>
        <w:keepNext w:val="0"/>
        <w:keepLines w:val="0"/>
        <w:pageBreakBefore w:val="0"/>
        <w:widowControl w:val="0"/>
        <w:kinsoku/>
        <w:wordWrap/>
        <w:overflowPunct/>
        <w:topLinePunct w:val="0"/>
        <w:autoSpaceDE/>
        <w:autoSpaceDN/>
        <w:bidi w:val="0"/>
        <w:adjustRightInd/>
        <w:spacing w:line="600" w:lineRule="exact"/>
        <w:ind w:firstLine="640"/>
        <w:textAlignment w:val="auto"/>
        <w:rPr>
          <w:rFonts w:hint="eastAsia" w:ascii="Times New Roman" w:hAnsi="Times New Roman" w:eastAsia="仿宋_GB2312" w:cs="仿宋_GB2312"/>
          <w:color w:val="000000" w:themeColor="text1"/>
          <w:sz w:val="32"/>
          <w:szCs w:val="32"/>
          <w14:textFill>
            <w14:solidFill>
              <w14:schemeClr w14:val="tx1"/>
            </w14:solidFill>
          </w14:textFill>
        </w:rPr>
      </w:pPr>
      <w:r>
        <w:rPr>
          <w:rFonts w:hint="eastAsia" w:ascii="Times New Roman" w:hAnsi="Times New Roman" w:eastAsia="仿宋_GB2312" w:cs="仿宋_GB2312"/>
          <w:color w:val="000000" w:themeColor="text1"/>
          <w:sz w:val="32"/>
          <w:szCs w:val="32"/>
          <w14:textFill>
            <w14:solidFill>
              <w14:schemeClr w14:val="tx1"/>
            </w14:solidFill>
          </w14:textFill>
        </w:rPr>
        <w:t xml:space="preserve">3.年初结转和结余：指以前年度尚未完成、结转到本年按有关规定继续使用的资金。 </w:t>
      </w:r>
    </w:p>
    <w:p w14:paraId="182DDAD4">
      <w:pPr>
        <w:keepNext w:val="0"/>
        <w:keepLines w:val="0"/>
        <w:pageBreakBefore w:val="0"/>
        <w:widowControl w:val="0"/>
        <w:kinsoku/>
        <w:wordWrap/>
        <w:overflowPunct/>
        <w:topLinePunct w:val="0"/>
        <w:autoSpaceDE/>
        <w:autoSpaceDN/>
        <w:bidi w:val="0"/>
        <w:adjustRightInd/>
        <w:spacing w:line="600" w:lineRule="exact"/>
        <w:ind w:firstLine="640"/>
        <w:textAlignment w:val="auto"/>
        <w:rPr>
          <w:rFonts w:hint="eastAsia" w:ascii="Times New Roman" w:hAnsi="Times New Roman" w:eastAsia="仿宋_GB2312" w:cs="仿宋_GB2312"/>
          <w:color w:val="000000" w:themeColor="text1"/>
          <w:sz w:val="32"/>
          <w:szCs w:val="32"/>
          <w14:textFill>
            <w14:solidFill>
              <w14:schemeClr w14:val="tx1"/>
            </w14:solidFill>
          </w14:textFill>
        </w:rPr>
      </w:pPr>
      <w:r>
        <w:rPr>
          <w:rFonts w:hint="eastAsia" w:ascii="Times New Roman" w:hAnsi="Times New Roman" w:eastAsia="仿宋_GB2312" w:cs="仿宋_GB2312"/>
          <w:color w:val="000000" w:themeColor="text1"/>
          <w:sz w:val="32"/>
          <w:szCs w:val="32"/>
          <w14:textFill>
            <w14:solidFill>
              <w14:schemeClr w14:val="tx1"/>
            </w14:solidFill>
          </w14:textFill>
        </w:rPr>
        <w:t>4.年末结转和结余：指单位按有关规定结转到下年或以后年度继续使用的资金。</w:t>
      </w:r>
    </w:p>
    <w:p w14:paraId="5BD12AE8">
      <w:pPr>
        <w:keepNext w:val="0"/>
        <w:keepLines w:val="0"/>
        <w:pageBreakBefore w:val="0"/>
        <w:widowControl w:val="0"/>
        <w:kinsoku/>
        <w:wordWrap/>
        <w:overflowPunct/>
        <w:topLinePunct w:val="0"/>
        <w:autoSpaceDE/>
        <w:autoSpaceDN/>
        <w:bidi w:val="0"/>
        <w:adjustRightInd/>
        <w:spacing w:line="600" w:lineRule="exact"/>
        <w:ind w:firstLine="640" w:firstLineChars="200"/>
        <w:textAlignment w:val="auto"/>
        <w:rPr>
          <w:rFonts w:hint="eastAsia" w:ascii="Times New Roman" w:hAnsi="Times New Roman" w:eastAsia="仿宋_GB2312" w:cs="仿宋_GB2312"/>
          <w:color w:val="000000" w:themeColor="text1"/>
          <w:sz w:val="32"/>
          <w:szCs w:val="32"/>
          <w14:textFill>
            <w14:solidFill>
              <w14:schemeClr w14:val="tx1"/>
            </w14:solidFill>
          </w14:textFill>
        </w:rPr>
      </w:pPr>
      <w:r>
        <w:rPr>
          <w:rFonts w:hint="eastAsia" w:ascii="Times New Roman" w:hAnsi="Times New Roman" w:eastAsia="仿宋_GB2312" w:cs="仿宋_GB2312"/>
          <w:color w:val="000000" w:themeColor="text1"/>
          <w:sz w:val="32"/>
          <w:szCs w:val="32"/>
          <w14:textFill>
            <w14:solidFill>
              <w14:schemeClr w14:val="tx1"/>
            </w14:solidFill>
          </w14:textFill>
        </w:rPr>
        <w:t>5.一般公共服务（类）发展与改革事务（款）行政运行（项）：指行政单位（包括实行公务员管理的事业单位）的基本支出。</w:t>
      </w:r>
    </w:p>
    <w:p w14:paraId="0982AB80">
      <w:pPr>
        <w:keepNext w:val="0"/>
        <w:keepLines w:val="0"/>
        <w:pageBreakBefore w:val="0"/>
        <w:widowControl w:val="0"/>
        <w:kinsoku/>
        <w:wordWrap/>
        <w:overflowPunct/>
        <w:topLinePunct w:val="0"/>
        <w:autoSpaceDE/>
        <w:autoSpaceDN/>
        <w:bidi w:val="0"/>
        <w:adjustRightInd/>
        <w:spacing w:line="600" w:lineRule="exact"/>
        <w:ind w:firstLine="640" w:firstLineChars="200"/>
        <w:textAlignment w:val="auto"/>
        <w:rPr>
          <w:rFonts w:hint="eastAsia" w:ascii="Times New Roman" w:hAnsi="Times New Roman" w:eastAsia="仿宋_GB2312" w:cs="仿宋_GB2312"/>
          <w:color w:val="000000" w:themeColor="text1"/>
          <w:sz w:val="32"/>
          <w:szCs w:val="32"/>
          <w14:textFill>
            <w14:solidFill>
              <w14:schemeClr w14:val="tx1"/>
            </w14:solidFill>
          </w14:textFill>
        </w:rPr>
      </w:pPr>
      <w:r>
        <w:rPr>
          <w:rFonts w:hint="eastAsia" w:ascii="Times New Roman" w:hAnsi="Times New Roman" w:eastAsia="仿宋_GB2312" w:cs="仿宋_GB2312"/>
          <w:color w:val="000000" w:themeColor="text1"/>
          <w:sz w:val="32"/>
          <w:szCs w:val="32"/>
          <w14:textFill>
            <w14:solidFill>
              <w14:schemeClr w14:val="tx1"/>
            </w14:solidFill>
          </w14:textFill>
        </w:rPr>
        <w:t>一般公共服务（类）发展与改革事务（款）一般行政管理事务（项）：指行政单位（包括实行公务员管理的事业单位）未单独设置项级科目的其他项目支出。</w:t>
      </w:r>
    </w:p>
    <w:p w14:paraId="138CB407">
      <w:pPr>
        <w:pStyle w:val="8"/>
        <w:keepNext w:val="0"/>
        <w:keepLines w:val="0"/>
        <w:pageBreakBefore w:val="0"/>
        <w:widowControl w:val="0"/>
        <w:kinsoku/>
        <w:wordWrap/>
        <w:overflowPunct/>
        <w:topLinePunct w:val="0"/>
        <w:autoSpaceDE/>
        <w:autoSpaceDN/>
        <w:bidi w:val="0"/>
        <w:adjustRightInd/>
        <w:spacing w:after="0" w:line="600" w:lineRule="exact"/>
        <w:ind w:left="0" w:leftChars="0" w:firstLine="640"/>
        <w:textAlignment w:val="auto"/>
        <w:rPr>
          <w:rFonts w:hint="eastAsia" w:ascii="Times New Roman" w:hAnsi="Times New Roman" w:eastAsia="仿宋_GB2312" w:cs="仿宋_GB2312"/>
          <w:color w:val="000000" w:themeColor="text1"/>
          <w:sz w:val="32"/>
          <w14:textFill>
            <w14:solidFill>
              <w14:schemeClr w14:val="tx1"/>
            </w14:solidFill>
          </w14:textFill>
        </w:rPr>
      </w:pPr>
      <w:r>
        <w:rPr>
          <w:rFonts w:hint="eastAsia" w:ascii="Times New Roman" w:hAnsi="Times New Roman" w:eastAsia="仿宋_GB2312" w:cs="仿宋_GB2312"/>
          <w:color w:val="000000" w:themeColor="text1"/>
          <w:sz w:val="32"/>
          <w14:textFill>
            <w14:solidFill>
              <w14:schemeClr w14:val="tx1"/>
            </w14:solidFill>
          </w14:textFill>
        </w:rPr>
        <w:t>一般公共服务（类）发展与改革事务（款）事业运行（项）：指事业单位的基本支出。</w:t>
      </w:r>
    </w:p>
    <w:p w14:paraId="15101062">
      <w:pPr>
        <w:pStyle w:val="8"/>
        <w:keepNext w:val="0"/>
        <w:keepLines w:val="0"/>
        <w:pageBreakBefore w:val="0"/>
        <w:widowControl w:val="0"/>
        <w:kinsoku/>
        <w:wordWrap/>
        <w:overflowPunct/>
        <w:topLinePunct w:val="0"/>
        <w:autoSpaceDE/>
        <w:autoSpaceDN/>
        <w:bidi w:val="0"/>
        <w:adjustRightInd/>
        <w:spacing w:after="0" w:line="600" w:lineRule="exact"/>
        <w:ind w:left="0" w:leftChars="0" w:firstLine="640"/>
        <w:textAlignment w:val="auto"/>
        <w:rPr>
          <w:rFonts w:hint="eastAsia" w:ascii="Times New Roman" w:hAnsi="Times New Roman" w:eastAsia="仿宋_GB2312" w:cs="仿宋_GB2312"/>
          <w:color w:val="000000" w:themeColor="text1"/>
          <w:sz w:val="32"/>
          <w14:textFill>
            <w14:solidFill>
              <w14:schemeClr w14:val="tx1"/>
            </w14:solidFill>
          </w14:textFill>
        </w:rPr>
      </w:pPr>
      <w:r>
        <w:rPr>
          <w:rFonts w:hint="eastAsia" w:ascii="Times New Roman" w:hAnsi="Times New Roman" w:eastAsia="仿宋_GB2312" w:cs="仿宋_GB2312"/>
          <w:color w:val="000000" w:themeColor="text1"/>
          <w:sz w:val="32"/>
          <w14:textFill>
            <w14:solidFill>
              <w14:schemeClr w14:val="tx1"/>
            </w14:solidFill>
          </w14:textFill>
        </w:rPr>
        <w:t>一般公共服务（类）发展与改革事务（款）其他发展与改革事务支出（项）：指除上述项目以外的其他发展与改革事务支出。</w:t>
      </w:r>
    </w:p>
    <w:p w14:paraId="7CB8F12A">
      <w:pPr>
        <w:pStyle w:val="8"/>
        <w:keepNext w:val="0"/>
        <w:keepLines w:val="0"/>
        <w:pageBreakBefore w:val="0"/>
        <w:widowControl w:val="0"/>
        <w:kinsoku/>
        <w:wordWrap/>
        <w:overflowPunct/>
        <w:topLinePunct w:val="0"/>
        <w:autoSpaceDE/>
        <w:autoSpaceDN/>
        <w:bidi w:val="0"/>
        <w:adjustRightInd/>
        <w:spacing w:after="0" w:line="600" w:lineRule="exact"/>
        <w:ind w:left="0" w:leftChars="0" w:firstLine="640"/>
        <w:textAlignment w:val="auto"/>
        <w:rPr>
          <w:rFonts w:hint="eastAsia" w:ascii="Times New Roman" w:hAnsi="Times New Roman" w:eastAsia="仿宋_GB2312" w:cs="仿宋_GB2312"/>
          <w:color w:val="000000" w:themeColor="text1"/>
          <w:sz w:val="32"/>
          <w14:textFill>
            <w14:solidFill>
              <w14:schemeClr w14:val="tx1"/>
            </w14:solidFill>
          </w14:textFill>
        </w:rPr>
      </w:pPr>
      <w:r>
        <w:rPr>
          <w:rFonts w:hint="eastAsia" w:ascii="Times New Roman" w:hAnsi="Times New Roman" w:eastAsia="仿宋_GB2312" w:cs="仿宋_GB2312"/>
          <w:color w:val="000000" w:themeColor="text1"/>
          <w:sz w:val="32"/>
          <w14:textFill>
            <w14:solidFill>
              <w14:schemeClr w14:val="tx1"/>
            </w14:solidFill>
          </w14:textFill>
        </w:rPr>
        <w:t>一般公共服务（类）纪检监察事务（款）派驻派出机构（项）：指由纪检监察部门负担的派驻各部门和单位的纪检监察人员的专项业务支出。</w:t>
      </w:r>
    </w:p>
    <w:p w14:paraId="60264BB1">
      <w:pPr>
        <w:keepNext w:val="0"/>
        <w:keepLines w:val="0"/>
        <w:pageBreakBefore w:val="0"/>
        <w:widowControl w:val="0"/>
        <w:kinsoku/>
        <w:wordWrap/>
        <w:overflowPunct/>
        <w:topLinePunct w:val="0"/>
        <w:autoSpaceDE/>
        <w:autoSpaceDN/>
        <w:bidi w:val="0"/>
        <w:adjustRightInd/>
        <w:spacing w:line="600" w:lineRule="exact"/>
        <w:ind w:firstLine="640" w:firstLineChars="200"/>
        <w:textAlignment w:val="auto"/>
        <w:rPr>
          <w:rFonts w:hint="eastAsia" w:ascii="Times New Roman" w:hAnsi="Times New Roman" w:eastAsia="仿宋_GB2312" w:cs="仿宋_GB2312"/>
          <w:color w:val="000000" w:themeColor="text1"/>
          <w:sz w:val="32"/>
          <w:szCs w:val="32"/>
          <w14:textFill>
            <w14:solidFill>
              <w14:schemeClr w14:val="tx1"/>
            </w14:solidFill>
          </w14:textFill>
        </w:rPr>
      </w:pPr>
      <w:r>
        <w:rPr>
          <w:rFonts w:hint="eastAsia" w:ascii="Times New Roman" w:hAnsi="Times New Roman" w:eastAsia="仿宋_GB2312" w:cs="仿宋_GB2312"/>
          <w:color w:val="000000" w:themeColor="text1"/>
          <w:sz w:val="32"/>
          <w:szCs w:val="32"/>
          <w14:textFill>
            <w14:solidFill>
              <w14:schemeClr w14:val="tx1"/>
            </w14:solidFill>
          </w14:textFill>
        </w:rPr>
        <w:t>一般公共服务（类）商贸事务（款）招商引资（项）：指用于招商引资、优化经济环境等方面的支出。</w:t>
      </w:r>
    </w:p>
    <w:p w14:paraId="30447ABB">
      <w:pPr>
        <w:keepNext w:val="0"/>
        <w:keepLines w:val="0"/>
        <w:pageBreakBefore w:val="0"/>
        <w:widowControl w:val="0"/>
        <w:kinsoku/>
        <w:wordWrap/>
        <w:overflowPunct/>
        <w:topLinePunct w:val="0"/>
        <w:autoSpaceDE/>
        <w:autoSpaceDN/>
        <w:bidi w:val="0"/>
        <w:adjustRightInd/>
        <w:spacing w:line="600" w:lineRule="exact"/>
        <w:ind w:firstLine="640"/>
        <w:textAlignment w:val="auto"/>
        <w:rPr>
          <w:rFonts w:hint="eastAsia" w:ascii="Times New Roman" w:hAnsi="Times New Roman" w:eastAsia="仿宋_GB2312" w:cs="仿宋_GB2312"/>
          <w:color w:val="000000" w:themeColor="text1"/>
          <w:sz w:val="32"/>
          <w:szCs w:val="32"/>
          <w14:textFill>
            <w14:solidFill>
              <w14:schemeClr w14:val="tx1"/>
            </w14:solidFill>
          </w14:textFill>
        </w:rPr>
      </w:pPr>
      <w:r>
        <w:rPr>
          <w:rFonts w:hint="eastAsia" w:ascii="Times New Roman" w:hAnsi="Times New Roman" w:eastAsia="仿宋_GB2312" w:cs="仿宋_GB2312"/>
          <w:color w:val="000000" w:themeColor="text1"/>
          <w:sz w:val="32"/>
          <w:szCs w:val="32"/>
          <w14:textFill>
            <w14:solidFill>
              <w14:schemeClr w14:val="tx1"/>
            </w14:solidFill>
          </w14:textFill>
        </w:rPr>
        <w:t>一般公共服务（类）组织事务（款）其他组织事务支出（项）：</w:t>
      </w:r>
      <w:r>
        <w:rPr>
          <w:rFonts w:hint="eastAsia" w:ascii="Times New Roman" w:hAnsi="Times New Roman" w:eastAsia="仿宋_GB2312" w:cs="仿宋_GB2312"/>
          <w:color w:val="000000" w:themeColor="text1"/>
          <w:sz w:val="32"/>
          <w14:textFill>
            <w14:solidFill>
              <w14:schemeClr w14:val="tx1"/>
            </w14:solidFill>
          </w14:textFill>
        </w:rPr>
        <w:t>指其他用于中国共产党组织部门的事务支出。</w:t>
      </w:r>
    </w:p>
    <w:p w14:paraId="1C763F6C">
      <w:pPr>
        <w:keepNext w:val="0"/>
        <w:keepLines w:val="0"/>
        <w:pageBreakBefore w:val="0"/>
        <w:widowControl w:val="0"/>
        <w:kinsoku/>
        <w:wordWrap/>
        <w:overflowPunct/>
        <w:topLinePunct w:val="0"/>
        <w:autoSpaceDE/>
        <w:autoSpaceDN/>
        <w:bidi w:val="0"/>
        <w:adjustRightInd/>
        <w:spacing w:line="600" w:lineRule="exact"/>
        <w:ind w:firstLine="640" w:firstLineChars="200"/>
        <w:textAlignment w:val="auto"/>
        <w:rPr>
          <w:rFonts w:hint="eastAsia" w:ascii="Times New Roman" w:hAnsi="Times New Roman" w:eastAsia="仿宋_GB2312" w:cs="仿宋_GB2312"/>
          <w:color w:val="000000" w:themeColor="text1"/>
          <w:sz w:val="32"/>
          <w:szCs w:val="32"/>
          <w14:textFill>
            <w14:solidFill>
              <w14:schemeClr w14:val="tx1"/>
            </w14:solidFill>
          </w14:textFill>
        </w:rPr>
      </w:pPr>
      <w:r>
        <w:rPr>
          <w:rFonts w:hint="eastAsia" w:ascii="Times New Roman" w:hAnsi="Times New Roman" w:eastAsia="仿宋_GB2312" w:cs="仿宋_GB2312"/>
          <w:color w:val="000000" w:themeColor="text1"/>
          <w:sz w:val="32"/>
          <w:szCs w:val="32"/>
          <w14:textFill>
            <w14:solidFill>
              <w14:schemeClr w14:val="tx1"/>
            </w14:solidFill>
          </w14:textFill>
        </w:rPr>
        <w:t>6.社会保障和就业（类）人力资源和社会保障管理事务（款）其他人力资源和社会保障管理事务支出（项）：指其他用于人力资源和社会保障管理事务方面的支出。</w:t>
      </w:r>
    </w:p>
    <w:p w14:paraId="58914967">
      <w:pPr>
        <w:pStyle w:val="8"/>
        <w:keepNext w:val="0"/>
        <w:keepLines w:val="0"/>
        <w:pageBreakBefore w:val="0"/>
        <w:widowControl w:val="0"/>
        <w:kinsoku/>
        <w:wordWrap/>
        <w:overflowPunct/>
        <w:topLinePunct w:val="0"/>
        <w:autoSpaceDE/>
        <w:autoSpaceDN/>
        <w:bidi w:val="0"/>
        <w:adjustRightInd/>
        <w:spacing w:after="0" w:line="600" w:lineRule="exact"/>
        <w:ind w:left="0" w:leftChars="0" w:firstLine="640"/>
        <w:textAlignment w:val="auto"/>
        <w:rPr>
          <w:rFonts w:hint="eastAsia" w:ascii="Times New Roman" w:hAnsi="Times New Roman" w:eastAsia="仿宋_GB2312" w:cs="仿宋_GB2312"/>
          <w:color w:val="000000" w:themeColor="text1"/>
          <w:sz w:val="32"/>
          <w14:textFill>
            <w14:solidFill>
              <w14:schemeClr w14:val="tx1"/>
            </w14:solidFill>
          </w14:textFill>
        </w:rPr>
      </w:pPr>
      <w:r>
        <w:rPr>
          <w:rFonts w:hint="eastAsia" w:ascii="Times New Roman" w:hAnsi="Times New Roman" w:eastAsia="仿宋_GB2312" w:cs="仿宋_GB2312"/>
          <w:color w:val="000000" w:themeColor="text1"/>
          <w:sz w:val="32"/>
          <w14:textFill>
            <w14:solidFill>
              <w14:schemeClr w14:val="tx1"/>
            </w14:solidFill>
          </w14:textFill>
        </w:rPr>
        <w:t>社会保障和就业（类）行政事业单位养老支出（款）行政单位离退休（项）：指行政单位（包括实行公务员管理的事业单位）开支的离退休经费。</w:t>
      </w:r>
    </w:p>
    <w:p w14:paraId="41114529">
      <w:pPr>
        <w:keepNext w:val="0"/>
        <w:keepLines w:val="0"/>
        <w:pageBreakBefore w:val="0"/>
        <w:widowControl w:val="0"/>
        <w:kinsoku/>
        <w:wordWrap/>
        <w:overflowPunct/>
        <w:topLinePunct w:val="0"/>
        <w:autoSpaceDE/>
        <w:autoSpaceDN/>
        <w:bidi w:val="0"/>
        <w:adjustRightInd/>
        <w:spacing w:line="600" w:lineRule="exact"/>
        <w:ind w:firstLine="640" w:firstLineChars="200"/>
        <w:textAlignment w:val="auto"/>
        <w:rPr>
          <w:rFonts w:hint="eastAsia" w:ascii="Times New Roman" w:hAnsi="Times New Roman" w:eastAsia="仿宋_GB2312" w:cs="仿宋_GB2312"/>
          <w:color w:val="000000" w:themeColor="text1"/>
          <w:sz w:val="32"/>
          <w:szCs w:val="32"/>
          <w14:textFill>
            <w14:solidFill>
              <w14:schemeClr w14:val="tx1"/>
            </w14:solidFill>
          </w14:textFill>
        </w:rPr>
      </w:pPr>
      <w:r>
        <w:rPr>
          <w:rFonts w:hint="eastAsia" w:ascii="Times New Roman" w:hAnsi="Times New Roman" w:eastAsia="仿宋_GB2312" w:cs="仿宋_GB2312"/>
          <w:color w:val="000000" w:themeColor="text1"/>
          <w:sz w:val="32"/>
          <w:szCs w:val="32"/>
          <w14:textFill>
            <w14:solidFill>
              <w14:schemeClr w14:val="tx1"/>
            </w14:solidFill>
          </w14:textFill>
        </w:rPr>
        <w:t>社会保障和就业（类）行政事业单位养老支出（款）事业单位离退休（项）：指事业单位开支的离退休经费。</w:t>
      </w:r>
    </w:p>
    <w:p w14:paraId="58B2AE66">
      <w:pPr>
        <w:pStyle w:val="8"/>
        <w:keepNext w:val="0"/>
        <w:keepLines w:val="0"/>
        <w:pageBreakBefore w:val="0"/>
        <w:widowControl w:val="0"/>
        <w:kinsoku/>
        <w:wordWrap/>
        <w:overflowPunct/>
        <w:topLinePunct w:val="0"/>
        <w:autoSpaceDE/>
        <w:autoSpaceDN/>
        <w:bidi w:val="0"/>
        <w:adjustRightInd/>
        <w:spacing w:after="0" w:line="600" w:lineRule="exact"/>
        <w:ind w:left="0" w:leftChars="0" w:firstLine="640"/>
        <w:textAlignment w:val="auto"/>
        <w:rPr>
          <w:rFonts w:hint="eastAsia" w:ascii="Times New Roman" w:hAnsi="Times New Roman" w:eastAsia="仿宋_GB2312" w:cs="仿宋_GB2312"/>
          <w:color w:val="000000" w:themeColor="text1"/>
          <w:sz w:val="32"/>
          <w14:textFill>
            <w14:solidFill>
              <w14:schemeClr w14:val="tx1"/>
            </w14:solidFill>
          </w14:textFill>
        </w:rPr>
      </w:pPr>
      <w:r>
        <w:rPr>
          <w:rFonts w:hint="eastAsia" w:ascii="Times New Roman" w:hAnsi="Times New Roman" w:eastAsia="仿宋_GB2312" w:cs="仿宋_GB2312"/>
          <w:color w:val="000000" w:themeColor="text1"/>
          <w:sz w:val="32"/>
          <w14:textFill>
            <w14:solidFill>
              <w14:schemeClr w14:val="tx1"/>
            </w14:solidFill>
          </w14:textFill>
        </w:rPr>
        <w:t>社会保障和就业（类）行政事业单位养老支出（款）机关事业单位基本养老保险缴费支出（项）：指机关事业单位实施养老保险制度由单位缴纳的基本养老保险费支出。</w:t>
      </w:r>
    </w:p>
    <w:p w14:paraId="40C98D4C">
      <w:pPr>
        <w:pStyle w:val="8"/>
        <w:keepNext w:val="0"/>
        <w:keepLines w:val="0"/>
        <w:pageBreakBefore w:val="0"/>
        <w:widowControl w:val="0"/>
        <w:kinsoku/>
        <w:wordWrap/>
        <w:overflowPunct/>
        <w:topLinePunct w:val="0"/>
        <w:autoSpaceDE/>
        <w:autoSpaceDN/>
        <w:bidi w:val="0"/>
        <w:adjustRightInd/>
        <w:spacing w:after="0" w:line="600" w:lineRule="exact"/>
        <w:ind w:left="0" w:leftChars="0" w:firstLine="640"/>
        <w:textAlignment w:val="auto"/>
        <w:rPr>
          <w:rFonts w:hint="eastAsia" w:ascii="Times New Roman" w:hAnsi="Times New Roman" w:eastAsia="仿宋_GB2312" w:cs="仿宋_GB2312"/>
          <w:color w:val="000000" w:themeColor="text1"/>
          <w:sz w:val="32"/>
          <w14:textFill>
            <w14:solidFill>
              <w14:schemeClr w14:val="tx1"/>
            </w14:solidFill>
          </w14:textFill>
        </w:rPr>
      </w:pPr>
      <w:r>
        <w:rPr>
          <w:rFonts w:hint="eastAsia" w:ascii="Times New Roman" w:hAnsi="Times New Roman" w:eastAsia="仿宋_GB2312" w:cs="仿宋_GB2312"/>
          <w:color w:val="000000" w:themeColor="text1"/>
          <w:sz w:val="32"/>
          <w14:textFill>
            <w14:solidFill>
              <w14:schemeClr w14:val="tx1"/>
            </w14:solidFill>
          </w14:textFill>
        </w:rPr>
        <w:t>社会保障和就业（类）行政事业单位养老支出（款）机关事业单位职业年金缴费支出（项）：指机关事业单位实施养老保险制度由单位实际缴纳的职业年金支出。</w:t>
      </w:r>
    </w:p>
    <w:p w14:paraId="57659795">
      <w:pPr>
        <w:keepNext w:val="0"/>
        <w:keepLines w:val="0"/>
        <w:pageBreakBefore w:val="0"/>
        <w:widowControl w:val="0"/>
        <w:kinsoku/>
        <w:wordWrap/>
        <w:overflowPunct/>
        <w:topLinePunct w:val="0"/>
        <w:autoSpaceDE/>
        <w:autoSpaceDN/>
        <w:bidi w:val="0"/>
        <w:adjustRightInd/>
        <w:spacing w:line="600" w:lineRule="exact"/>
        <w:ind w:firstLine="640" w:firstLineChars="200"/>
        <w:textAlignment w:val="auto"/>
        <w:rPr>
          <w:rFonts w:hint="eastAsia" w:ascii="Times New Roman" w:hAnsi="Times New Roman" w:eastAsia="仿宋_GB2312" w:cs="仿宋_GB2312"/>
          <w:color w:val="000000" w:themeColor="text1"/>
          <w:sz w:val="32"/>
          <w:szCs w:val="32"/>
          <w14:textFill>
            <w14:solidFill>
              <w14:schemeClr w14:val="tx1"/>
            </w14:solidFill>
          </w14:textFill>
        </w:rPr>
      </w:pPr>
      <w:r>
        <w:rPr>
          <w:rFonts w:hint="eastAsia" w:ascii="Times New Roman" w:hAnsi="Times New Roman" w:eastAsia="仿宋_GB2312" w:cs="仿宋_GB2312"/>
          <w:color w:val="000000" w:themeColor="text1"/>
          <w:sz w:val="32"/>
          <w:szCs w:val="32"/>
          <w14:textFill>
            <w14:solidFill>
              <w14:schemeClr w14:val="tx1"/>
            </w14:solidFill>
          </w14:textFill>
        </w:rPr>
        <w:t>社会保障和就业（类）抚恤（款）死亡抚恤（项）：指按规定用于烈士和牺牲、病故人员家属的一次性和定期抚恤金、丧葬补助费以及烈士褒扬金。</w:t>
      </w:r>
    </w:p>
    <w:p w14:paraId="3B84BB3F">
      <w:pPr>
        <w:keepNext w:val="0"/>
        <w:keepLines w:val="0"/>
        <w:pageBreakBefore w:val="0"/>
        <w:widowControl w:val="0"/>
        <w:kinsoku/>
        <w:wordWrap/>
        <w:overflowPunct/>
        <w:topLinePunct w:val="0"/>
        <w:autoSpaceDE/>
        <w:autoSpaceDN/>
        <w:bidi w:val="0"/>
        <w:adjustRightInd/>
        <w:spacing w:line="600" w:lineRule="exact"/>
        <w:ind w:firstLine="640" w:firstLineChars="200"/>
        <w:textAlignment w:val="auto"/>
        <w:rPr>
          <w:rFonts w:hint="eastAsia" w:ascii="Times New Roman" w:hAnsi="Times New Roman" w:eastAsia="仿宋_GB2312" w:cs="仿宋_GB2312"/>
          <w:color w:val="000000" w:themeColor="text1"/>
          <w:sz w:val="32"/>
          <w:szCs w:val="32"/>
          <w14:textFill>
            <w14:solidFill>
              <w14:schemeClr w14:val="tx1"/>
            </w14:solidFill>
          </w14:textFill>
        </w:rPr>
      </w:pPr>
      <w:r>
        <w:rPr>
          <w:rFonts w:hint="eastAsia" w:ascii="Times New Roman" w:hAnsi="Times New Roman" w:eastAsia="仿宋_GB2312" w:cs="仿宋_GB2312"/>
          <w:color w:val="000000" w:themeColor="text1"/>
          <w:sz w:val="32"/>
          <w:szCs w:val="32"/>
          <w14:textFill>
            <w14:solidFill>
              <w14:schemeClr w14:val="tx1"/>
            </w14:solidFill>
          </w14:textFill>
        </w:rPr>
        <w:t>社会保障和就业（类）社会福利（款）儿童福利（项）：指对儿童提供福利服务方面的支出。</w:t>
      </w:r>
    </w:p>
    <w:p w14:paraId="59BD915E">
      <w:pPr>
        <w:keepNext w:val="0"/>
        <w:keepLines w:val="0"/>
        <w:pageBreakBefore w:val="0"/>
        <w:widowControl w:val="0"/>
        <w:kinsoku/>
        <w:wordWrap/>
        <w:overflowPunct/>
        <w:topLinePunct w:val="0"/>
        <w:autoSpaceDE/>
        <w:autoSpaceDN/>
        <w:bidi w:val="0"/>
        <w:adjustRightInd/>
        <w:spacing w:line="600" w:lineRule="exact"/>
        <w:ind w:firstLine="640" w:firstLineChars="200"/>
        <w:textAlignment w:val="auto"/>
        <w:rPr>
          <w:rFonts w:hint="eastAsia" w:ascii="Times New Roman" w:hAnsi="Times New Roman" w:eastAsia="仿宋_GB2312" w:cs="仿宋_GB2312"/>
          <w:color w:val="000000" w:themeColor="text1"/>
          <w:sz w:val="32"/>
          <w:szCs w:val="32"/>
          <w14:textFill>
            <w14:solidFill>
              <w14:schemeClr w14:val="tx1"/>
            </w14:solidFill>
          </w14:textFill>
        </w:rPr>
      </w:pPr>
      <w:r>
        <w:rPr>
          <w:rFonts w:hint="eastAsia" w:ascii="Times New Roman" w:hAnsi="Times New Roman" w:eastAsia="仿宋_GB2312" w:cs="仿宋_GB2312"/>
          <w:color w:val="000000" w:themeColor="text1"/>
          <w:sz w:val="32"/>
          <w:szCs w:val="32"/>
          <w14:textFill>
            <w14:solidFill>
              <w14:schemeClr w14:val="tx1"/>
            </w14:solidFill>
          </w14:textFill>
        </w:rPr>
        <w:t>7.卫生健康（类）行政事业单位医疗（款）行政单位医疗（项）：指财政部门安排的行政单位（包括实行公务员管理的事业单位，下同）基本医疗保险缴费经费，未参加医疗保险的行政单位的公费医疗经费，按国家规定享受离休人员、红军老战士待遇人员的医疗经费。</w:t>
      </w:r>
    </w:p>
    <w:p w14:paraId="7921BCA8">
      <w:pPr>
        <w:pStyle w:val="8"/>
        <w:keepNext w:val="0"/>
        <w:keepLines w:val="0"/>
        <w:pageBreakBefore w:val="0"/>
        <w:widowControl w:val="0"/>
        <w:kinsoku/>
        <w:wordWrap/>
        <w:overflowPunct/>
        <w:topLinePunct w:val="0"/>
        <w:autoSpaceDE/>
        <w:autoSpaceDN/>
        <w:bidi w:val="0"/>
        <w:adjustRightInd/>
        <w:spacing w:after="0" w:line="600" w:lineRule="exact"/>
        <w:ind w:left="0" w:leftChars="0" w:firstLine="640"/>
        <w:textAlignment w:val="auto"/>
        <w:rPr>
          <w:rFonts w:hint="eastAsia" w:ascii="Times New Roman" w:hAnsi="Times New Roman" w:eastAsia="仿宋_GB2312" w:cs="仿宋_GB2312"/>
          <w:color w:val="000000" w:themeColor="text1"/>
          <w:sz w:val="32"/>
          <w14:textFill>
            <w14:solidFill>
              <w14:schemeClr w14:val="tx1"/>
            </w14:solidFill>
          </w14:textFill>
        </w:rPr>
      </w:pPr>
      <w:r>
        <w:rPr>
          <w:rFonts w:hint="eastAsia" w:ascii="Times New Roman" w:hAnsi="Times New Roman" w:eastAsia="仿宋_GB2312" w:cs="仿宋_GB2312"/>
          <w:color w:val="000000" w:themeColor="text1"/>
          <w:sz w:val="32"/>
          <w14:textFill>
            <w14:solidFill>
              <w14:schemeClr w14:val="tx1"/>
            </w14:solidFill>
          </w14:textFill>
        </w:rPr>
        <w:t>卫生健康（类）行政事业单位医疗（款）事业单位医疗（项）：指财政部门安排的事业单位基本医疗保险缴费经费，未参加医疗保险的事业单位的公费医疗经费，按国家规定享受离休人员待遇的医疗经费。</w:t>
      </w:r>
    </w:p>
    <w:p w14:paraId="4BCFED7B">
      <w:pPr>
        <w:keepNext w:val="0"/>
        <w:keepLines w:val="0"/>
        <w:pageBreakBefore w:val="0"/>
        <w:widowControl w:val="0"/>
        <w:kinsoku/>
        <w:wordWrap/>
        <w:overflowPunct/>
        <w:topLinePunct w:val="0"/>
        <w:autoSpaceDE/>
        <w:autoSpaceDN/>
        <w:bidi w:val="0"/>
        <w:adjustRightInd/>
        <w:spacing w:line="600" w:lineRule="exact"/>
        <w:ind w:firstLine="640" w:firstLineChars="200"/>
        <w:textAlignment w:val="auto"/>
        <w:rPr>
          <w:rFonts w:hint="eastAsia" w:ascii="Times New Roman" w:hAnsi="Times New Roman" w:eastAsia="仿宋_GB2312" w:cs="仿宋_GB2312"/>
          <w:color w:val="000000" w:themeColor="text1"/>
          <w:sz w:val="32"/>
          <w:szCs w:val="32"/>
          <w14:textFill>
            <w14:solidFill>
              <w14:schemeClr w14:val="tx1"/>
            </w14:solidFill>
          </w14:textFill>
        </w:rPr>
      </w:pPr>
      <w:r>
        <w:rPr>
          <w:rFonts w:hint="eastAsia" w:ascii="Times New Roman" w:hAnsi="Times New Roman" w:eastAsia="仿宋_GB2312" w:cs="仿宋_GB2312"/>
          <w:color w:val="000000" w:themeColor="text1"/>
          <w:sz w:val="32"/>
          <w:szCs w:val="32"/>
          <w14:textFill>
            <w14:solidFill>
              <w14:schemeClr w14:val="tx1"/>
            </w14:solidFill>
          </w14:textFill>
        </w:rPr>
        <w:t>卫生健康（类）行政事业单位医疗（款）公务员医疗补助（项）：指财政部门安排的公务员医疗补助经费。</w:t>
      </w:r>
    </w:p>
    <w:p w14:paraId="245DC706">
      <w:pPr>
        <w:keepNext w:val="0"/>
        <w:keepLines w:val="0"/>
        <w:pageBreakBefore w:val="0"/>
        <w:widowControl w:val="0"/>
        <w:kinsoku/>
        <w:wordWrap/>
        <w:overflowPunct/>
        <w:topLinePunct w:val="0"/>
        <w:autoSpaceDE/>
        <w:autoSpaceDN/>
        <w:bidi w:val="0"/>
        <w:adjustRightInd/>
        <w:spacing w:line="600" w:lineRule="exact"/>
        <w:ind w:firstLine="640" w:firstLineChars="200"/>
        <w:textAlignment w:val="auto"/>
        <w:rPr>
          <w:rFonts w:hint="eastAsia" w:ascii="Times New Roman" w:hAnsi="Times New Roman" w:eastAsia="仿宋_GB2312" w:cs="仿宋_GB2312"/>
          <w:color w:val="000000" w:themeColor="text1"/>
          <w:sz w:val="32"/>
          <w:szCs w:val="32"/>
          <w14:textFill>
            <w14:solidFill>
              <w14:schemeClr w14:val="tx1"/>
            </w14:solidFill>
          </w14:textFill>
        </w:rPr>
      </w:pPr>
      <w:r>
        <w:rPr>
          <w:rFonts w:hint="eastAsia" w:ascii="Times New Roman" w:hAnsi="Times New Roman" w:eastAsia="仿宋_GB2312" w:cs="仿宋_GB2312"/>
          <w:color w:val="000000" w:themeColor="text1"/>
          <w:sz w:val="32"/>
          <w:szCs w:val="32"/>
          <w14:textFill>
            <w14:solidFill>
              <w14:schemeClr w14:val="tx1"/>
            </w14:solidFill>
          </w14:textFill>
        </w:rPr>
        <w:t>卫生健康（类）行政事业单位医疗（款）其他行政事业单位医疗支出（项）：指其他用于行政事业单位医疗方面的支出。</w:t>
      </w:r>
    </w:p>
    <w:p w14:paraId="643E6228">
      <w:pPr>
        <w:keepNext w:val="0"/>
        <w:keepLines w:val="0"/>
        <w:pageBreakBefore w:val="0"/>
        <w:widowControl w:val="0"/>
        <w:kinsoku/>
        <w:wordWrap/>
        <w:overflowPunct/>
        <w:topLinePunct w:val="0"/>
        <w:autoSpaceDE/>
        <w:autoSpaceDN/>
        <w:bidi w:val="0"/>
        <w:adjustRightInd/>
        <w:spacing w:line="600" w:lineRule="exact"/>
        <w:ind w:firstLine="640" w:firstLineChars="200"/>
        <w:textAlignment w:val="auto"/>
        <w:rPr>
          <w:rFonts w:hint="eastAsia" w:ascii="Times New Roman" w:hAnsi="Times New Roman" w:eastAsia="仿宋_GB2312" w:cs="仿宋_GB2312"/>
          <w:color w:val="000000" w:themeColor="text1"/>
          <w:sz w:val="32"/>
          <w:szCs w:val="32"/>
          <w14:textFill>
            <w14:solidFill>
              <w14:schemeClr w14:val="tx1"/>
            </w14:solidFill>
          </w14:textFill>
        </w:rPr>
      </w:pPr>
      <w:r>
        <w:rPr>
          <w:rFonts w:hint="eastAsia" w:ascii="Times New Roman" w:hAnsi="Times New Roman" w:eastAsia="仿宋_GB2312" w:cs="仿宋_GB2312"/>
          <w:color w:val="000000" w:themeColor="text1"/>
          <w:sz w:val="32"/>
          <w:szCs w:val="32"/>
          <w14:textFill>
            <w14:solidFill>
              <w14:schemeClr w14:val="tx1"/>
            </w14:solidFill>
          </w14:textFill>
        </w:rPr>
        <w:t>卫生健康（类）其他卫生健康支出（款）其他卫生健康支出（项）：</w:t>
      </w:r>
      <w:r>
        <w:rPr>
          <w:rFonts w:hint="eastAsia" w:ascii="Times New Roman" w:hAnsi="Times New Roman" w:eastAsia="仿宋_GB2312" w:cs="仿宋_GB2312"/>
          <w:color w:val="000000" w:themeColor="text1"/>
          <w:sz w:val="32"/>
          <w14:textFill>
            <w14:solidFill>
              <w14:schemeClr w14:val="tx1"/>
            </w14:solidFill>
          </w14:textFill>
        </w:rPr>
        <w:t>指其他用于卫生健康方面的支出。</w:t>
      </w:r>
    </w:p>
    <w:p w14:paraId="3AC83F21">
      <w:pPr>
        <w:keepNext w:val="0"/>
        <w:keepLines w:val="0"/>
        <w:pageBreakBefore w:val="0"/>
        <w:widowControl w:val="0"/>
        <w:kinsoku/>
        <w:wordWrap/>
        <w:overflowPunct/>
        <w:topLinePunct w:val="0"/>
        <w:autoSpaceDE/>
        <w:autoSpaceDN/>
        <w:bidi w:val="0"/>
        <w:adjustRightInd/>
        <w:spacing w:line="600" w:lineRule="exact"/>
        <w:ind w:firstLine="640"/>
        <w:textAlignment w:val="auto"/>
        <w:rPr>
          <w:rFonts w:hint="eastAsia" w:ascii="Times New Roman" w:hAnsi="Times New Roman" w:eastAsia="仿宋_GB2312" w:cs="仿宋_GB2312"/>
          <w:color w:val="000000" w:themeColor="text1"/>
          <w:sz w:val="32"/>
          <w:szCs w:val="32"/>
          <w14:textFill>
            <w14:solidFill>
              <w14:schemeClr w14:val="tx1"/>
            </w14:solidFill>
          </w14:textFill>
        </w:rPr>
      </w:pPr>
      <w:r>
        <w:rPr>
          <w:rFonts w:hint="eastAsia" w:ascii="Times New Roman" w:hAnsi="Times New Roman" w:eastAsia="仿宋_GB2312" w:cs="仿宋_GB2312"/>
          <w:color w:val="000000" w:themeColor="text1"/>
          <w:sz w:val="32"/>
          <w:szCs w:val="32"/>
          <w14:textFill>
            <w14:solidFill>
              <w14:schemeClr w14:val="tx1"/>
            </w14:solidFill>
          </w14:textFill>
        </w:rPr>
        <w:t>8.住房保障（类）住房改革支出（款）住房公积金（项）：指行政事业单位按人力资源和社会保障部、财政部规定的基本工资和津贴补贴以及规定比例为职工缴纳的住房公积金。</w:t>
      </w:r>
    </w:p>
    <w:p w14:paraId="18BA8A67">
      <w:pPr>
        <w:keepNext w:val="0"/>
        <w:keepLines w:val="0"/>
        <w:pageBreakBefore w:val="0"/>
        <w:widowControl w:val="0"/>
        <w:kinsoku/>
        <w:wordWrap/>
        <w:overflowPunct/>
        <w:topLinePunct w:val="0"/>
        <w:autoSpaceDE/>
        <w:autoSpaceDN/>
        <w:bidi w:val="0"/>
        <w:adjustRightInd/>
        <w:spacing w:line="600" w:lineRule="exact"/>
        <w:ind w:firstLine="640" w:firstLineChars="200"/>
        <w:textAlignment w:val="auto"/>
        <w:rPr>
          <w:rFonts w:hint="eastAsia" w:ascii="Times New Roman" w:hAnsi="Times New Roman" w:eastAsia="仿宋_GB2312" w:cs="仿宋_GB2312"/>
          <w:color w:val="000000" w:themeColor="text1"/>
          <w:sz w:val="32"/>
          <w:szCs w:val="32"/>
          <w14:textFill>
            <w14:solidFill>
              <w14:schemeClr w14:val="tx1"/>
            </w14:solidFill>
          </w14:textFill>
        </w:rPr>
      </w:pPr>
      <w:r>
        <w:rPr>
          <w:rFonts w:hint="eastAsia" w:ascii="Times New Roman" w:hAnsi="Times New Roman" w:eastAsia="仿宋_GB2312" w:cs="仿宋_GB2312"/>
          <w:color w:val="000000" w:themeColor="text1"/>
          <w:sz w:val="32"/>
          <w:szCs w:val="32"/>
          <w14:textFill>
            <w14:solidFill>
              <w14:schemeClr w14:val="tx1"/>
            </w14:solidFill>
          </w14:textFill>
        </w:rPr>
        <w:t>9.城乡社区支出（类）国有土地使用权出让收入安排的支出（款）土地开发支出（项）：指新疆生产建设兵团和地方政府用于前期土地开发性支出以及与前期土地开发相关的费用等支出。</w:t>
      </w:r>
    </w:p>
    <w:p w14:paraId="0C892510">
      <w:pPr>
        <w:pStyle w:val="14"/>
        <w:keepNext w:val="0"/>
        <w:keepLines w:val="0"/>
        <w:pageBreakBefore w:val="0"/>
        <w:widowControl w:val="0"/>
        <w:kinsoku/>
        <w:wordWrap/>
        <w:overflowPunct/>
        <w:topLinePunct w:val="0"/>
        <w:autoSpaceDE/>
        <w:autoSpaceDN/>
        <w:bidi w:val="0"/>
        <w:adjustRightInd/>
        <w:spacing w:line="600" w:lineRule="exact"/>
        <w:ind w:firstLine="640" w:firstLineChars="200"/>
        <w:jc w:val="both"/>
        <w:textAlignment w:val="auto"/>
        <w:rPr>
          <w:rFonts w:hint="eastAsia" w:ascii="Times New Roman" w:hAnsi="Times New Roman" w:eastAsia="仿宋_GB2312" w:cs="仿宋_GB2312"/>
          <w:color w:val="000000" w:themeColor="text1"/>
          <w:sz w:val="32"/>
          <w:szCs w:val="32"/>
          <w14:textFill>
            <w14:solidFill>
              <w14:schemeClr w14:val="tx1"/>
            </w14:solidFill>
          </w14:textFill>
        </w:rPr>
      </w:pPr>
      <w:r>
        <w:rPr>
          <w:rFonts w:hint="eastAsia" w:ascii="Times New Roman" w:hAnsi="Times New Roman" w:eastAsia="仿宋_GB2312" w:cs="仿宋_GB2312"/>
          <w:color w:val="000000" w:themeColor="text1"/>
          <w:sz w:val="32"/>
          <w:szCs w:val="32"/>
          <w14:textFill>
            <w14:solidFill>
              <w14:schemeClr w14:val="tx1"/>
            </w14:solidFill>
          </w14:textFill>
        </w:rPr>
        <w:t>城乡社区支出（类）国有土地使用权出让收入安排的支出（款）农业生产发展支出（项）：指土地出让收入用于高标准农田建设、农田水利建设、农村土地综合整治、耕地及永久基本农田保护支出、现代种业提升等方面的支出。</w:t>
      </w:r>
    </w:p>
    <w:p w14:paraId="31EEF338">
      <w:pPr>
        <w:pStyle w:val="8"/>
        <w:keepNext w:val="0"/>
        <w:keepLines w:val="0"/>
        <w:pageBreakBefore w:val="0"/>
        <w:widowControl w:val="0"/>
        <w:kinsoku/>
        <w:wordWrap/>
        <w:overflowPunct/>
        <w:topLinePunct w:val="0"/>
        <w:autoSpaceDE/>
        <w:autoSpaceDN/>
        <w:bidi w:val="0"/>
        <w:adjustRightInd/>
        <w:spacing w:after="0" w:line="600" w:lineRule="exact"/>
        <w:ind w:left="0" w:leftChars="0" w:firstLine="640"/>
        <w:textAlignment w:val="auto"/>
        <w:rPr>
          <w:rFonts w:hint="eastAsia" w:ascii="Times New Roman" w:hAnsi="Times New Roman" w:eastAsia="仿宋_GB2312" w:cs="仿宋_GB2312"/>
          <w:color w:val="000000" w:themeColor="text1"/>
          <w:sz w:val="32"/>
          <w14:textFill>
            <w14:solidFill>
              <w14:schemeClr w14:val="tx1"/>
            </w14:solidFill>
          </w14:textFill>
        </w:rPr>
      </w:pPr>
      <w:r>
        <w:rPr>
          <w:rFonts w:hint="eastAsia" w:ascii="Times New Roman" w:hAnsi="Times New Roman" w:eastAsia="仿宋_GB2312" w:cs="仿宋_GB2312"/>
          <w:color w:val="000000" w:themeColor="text1"/>
          <w:sz w:val="32"/>
          <w14:textFill>
            <w14:solidFill>
              <w14:schemeClr w14:val="tx1"/>
            </w14:solidFill>
          </w14:textFill>
        </w:rPr>
        <w:t>10.其他支出（类）其他政府性基金及对应专项债务收入安排的支出（款）其他政府性基金债务收入安排的支出（项）：指其他政府性基金对应专项债务收入安排的支出。</w:t>
      </w:r>
    </w:p>
    <w:p w14:paraId="77094426">
      <w:pPr>
        <w:keepNext w:val="0"/>
        <w:keepLines w:val="0"/>
        <w:pageBreakBefore w:val="0"/>
        <w:widowControl w:val="0"/>
        <w:kinsoku/>
        <w:wordWrap/>
        <w:overflowPunct/>
        <w:topLinePunct w:val="0"/>
        <w:autoSpaceDE/>
        <w:autoSpaceDN/>
        <w:bidi w:val="0"/>
        <w:adjustRightInd/>
        <w:spacing w:line="600" w:lineRule="exact"/>
        <w:ind w:firstLine="640"/>
        <w:textAlignment w:val="auto"/>
        <w:rPr>
          <w:rFonts w:hint="eastAsia" w:ascii="Times New Roman" w:hAnsi="Times New Roman" w:eastAsia="仿宋_GB2312" w:cs="仿宋_GB2312"/>
          <w:color w:val="000000" w:themeColor="text1"/>
          <w:sz w:val="32"/>
          <w:szCs w:val="32"/>
          <w14:textFill>
            <w14:solidFill>
              <w14:schemeClr w14:val="tx1"/>
            </w14:solidFill>
          </w14:textFill>
        </w:rPr>
      </w:pPr>
      <w:r>
        <w:rPr>
          <w:rFonts w:hint="eastAsia" w:ascii="Times New Roman" w:hAnsi="Times New Roman" w:eastAsia="仿宋_GB2312" w:cs="仿宋_GB2312"/>
          <w:color w:val="000000" w:themeColor="text1"/>
          <w:sz w:val="32"/>
          <w:szCs w:val="32"/>
          <w14:textFill>
            <w14:solidFill>
              <w14:schemeClr w14:val="tx1"/>
            </w14:solidFill>
          </w14:textFill>
        </w:rPr>
        <w:t>其他支出（类）其他支出（款）其他支出（项）：指除上述项目以外其他不能划分到具体功能科目中的支出项目。</w:t>
      </w:r>
    </w:p>
    <w:p w14:paraId="6F09AEA8">
      <w:pPr>
        <w:keepNext w:val="0"/>
        <w:keepLines w:val="0"/>
        <w:pageBreakBefore w:val="0"/>
        <w:widowControl w:val="0"/>
        <w:kinsoku/>
        <w:wordWrap/>
        <w:overflowPunct/>
        <w:topLinePunct w:val="0"/>
        <w:autoSpaceDE/>
        <w:autoSpaceDN/>
        <w:bidi w:val="0"/>
        <w:adjustRightInd/>
        <w:spacing w:line="600" w:lineRule="exact"/>
        <w:ind w:firstLine="640"/>
        <w:textAlignment w:val="auto"/>
        <w:rPr>
          <w:rFonts w:hint="eastAsia" w:ascii="Times New Roman" w:hAnsi="Times New Roman" w:eastAsia="仿宋_GB2312" w:cs="仿宋_GB2312"/>
          <w:color w:val="000000" w:themeColor="text1"/>
          <w:sz w:val="32"/>
          <w:szCs w:val="32"/>
          <w14:textFill>
            <w14:solidFill>
              <w14:schemeClr w14:val="tx1"/>
            </w14:solidFill>
          </w14:textFill>
        </w:rPr>
      </w:pPr>
      <w:r>
        <w:rPr>
          <w:rFonts w:hint="eastAsia" w:ascii="Times New Roman" w:hAnsi="Times New Roman" w:eastAsia="仿宋_GB2312" w:cs="仿宋_GB2312"/>
          <w:color w:val="000000" w:themeColor="text1"/>
          <w:sz w:val="32"/>
          <w:szCs w:val="32"/>
          <w14:textFill>
            <w14:solidFill>
              <w14:schemeClr w14:val="tx1"/>
            </w14:solidFill>
          </w14:textFill>
        </w:rPr>
        <w:t>11.基本支出：指为保障机构正常运转、完成日常工作任务而发生的人员支出和公用支出。</w:t>
      </w:r>
    </w:p>
    <w:p w14:paraId="2950595D">
      <w:pPr>
        <w:keepNext w:val="0"/>
        <w:keepLines w:val="0"/>
        <w:pageBreakBefore w:val="0"/>
        <w:widowControl w:val="0"/>
        <w:kinsoku/>
        <w:wordWrap/>
        <w:overflowPunct/>
        <w:topLinePunct w:val="0"/>
        <w:autoSpaceDE/>
        <w:autoSpaceDN/>
        <w:bidi w:val="0"/>
        <w:adjustRightInd/>
        <w:spacing w:line="600" w:lineRule="exact"/>
        <w:ind w:firstLine="640"/>
        <w:textAlignment w:val="auto"/>
        <w:rPr>
          <w:rFonts w:hint="eastAsia" w:ascii="Times New Roman" w:hAnsi="Times New Roman" w:eastAsia="仿宋_GB2312" w:cs="仿宋_GB2312"/>
          <w:color w:val="000000" w:themeColor="text1"/>
          <w:sz w:val="32"/>
          <w:szCs w:val="32"/>
          <w14:textFill>
            <w14:solidFill>
              <w14:schemeClr w14:val="tx1"/>
            </w14:solidFill>
          </w14:textFill>
        </w:rPr>
      </w:pPr>
      <w:r>
        <w:rPr>
          <w:rFonts w:hint="eastAsia" w:ascii="Times New Roman" w:hAnsi="Times New Roman" w:eastAsia="仿宋_GB2312" w:cs="仿宋_GB2312"/>
          <w:color w:val="000000" w:themeColor="text1"/>
          <w:sz w:val="32"/>
          <w:szCs w:val="32"/>
          <w14:textFill>
            <w14:solidFill>
              <w14:schemeClr w14:val="tx1"/>
            </w14:solidFill>
          </w14:textFill>
        </w:rPr>
        <w:t xml:space="preserve">12.项目支出：指在基本支出之外为完成特定行政任务和事业发展目标所发生的支出。 </w:t>
      </w:r>
    </w:p>
    <w:p w14:paraId="12B7AE83">
      <w:pPr>
        <w:keepNext w:val="0"/>
        <w:keepLines w:val="0"/>
        <w:pageBreakBefore w:val="0"/>
        <w:widowControl w:val="0"/>
        <w:kinsoku/>
        <w:wordWrap/>
        <w:overflowPunct/>
        <w:topLinePunct w:val="0"/>
        <w:autoSpaceDE/>
        <w:autoSpaceDN/>
        <w:bidi w:val="0"/>
        <w:adjustRightInd/>
        <w:spacing w:line="600" w:lineRule="exact"/>
        <w:ind w:firstLine="640"/>
        <w:textAlignment w:val="auto"/>
        <w:rPr>
          <w:rFonts w:hint="eastAsia" w:ascii="Times New Roman" w:hAnsi="Times New Roman" w:eastAsia="仿宋_GB2312" w:cs="仿宋_GB2312"/>
          <w:color w:val="000000" w:themeColor="text1"/>
          <w:sz w:val="32"/>
          <w:szCs w:val="32"/>
          <w14:textFill>
            <w14:solidFill>
              <w14:schemeClr w14:val="tx1"/>
            </w14:solidFill>
          </w14:textFill>
        </w:rPr>
      </w:pPr>
      <w:r>
        <w:rPr>
          <w:rFonts w:hint="eastAsia" w:ascii="Times New Roman" w:hAnsi="Times New Roman" w:eastAsia="仿宋_GB2312" w:cs="仿宋_GB2312"/>
          <w:color w:val="000000" w:themeColor="text1"/>
          <w:sz w:val="32"/>
          <w:szCs w:val="32"/>
          <w14:textFill>
            <w14:solidFill>
              <w14:schemeClr w14:val="tx1"/>
            </w14:solidFill>
          </w14:textFill>
        </w:rPr>
        <w:t>13.“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14:paraId="7B8F8DC2">
      <w:pPr>
        <w:keepNext w:val="0"/>
        <w:keepLines w:val="0"/>
        <w:pageBreakBefore w:val="0"/>
        <w:widowControl w:val="0"/>
        <w:kinsoku/>
        <w:wordWrap/>
        <w:overflowPunct/>
        <w:topLinePunct w:val="0"/>
        <w:autoSpaceDE/>
        <w:autoSpaceDN/>
        <w:bidi w:val="0"/>
        <w:adjustRightInd/>
        <w:spacing w:line="600" w:lineRule="exact"/>
        <w:ind w:firstLine="640"/>
        <w:textAlignment w:val="auto"/>
        <w:rPr>
          <w:rFonts w:hint="eastAsia" w:ascii="Times New Roman" w:hAnsi="Times New Roman" w:eastAsia="仿宋_GB2312" w:cs="仿宋_GB2312"/>
          <w:color w:val="000000" w:themeColor="text1"/>
          <w:sz w:val="32"/>
          <w:szCs w:val="32"/>
          <w14:textFill>
            <w14:solidFill>
              <w14:schemeClr w14:val="tx1"/>
            </w14:solidFill>
          </w14:textFill>
        </w:rPr>
      </w:pPr>
      <w:r>
        <w:rPr>
          <w:rFonts w:hint="eastAsia" w:ascii="Times New Roman" w:hAnsi="Times New Roman" w:eastAsia="仿宋_GB2312" w:cs="仿宋_GB2312"/>
          <w:color w:val="000000" w:themeColor="text1"/>
          <w:sz w:val="32"/>
          <w:szCs w:val="32"/>
          <w14:textFill>
            <w14:solidFill>
              <w14:schemeClr w14:val="tx1"/>
            </w14:solidFill>
          </w14:textFill>
        </w:rPr>
        <w:t>14.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7924CFF2">
      <w:pPr>
        <w:pStyle w:val="2"/>
        <w:jc w:val="center"/>
        <w:rPr>
          <w:rFonts w:ascii="方正小标宋简体" w:hAnsi="方正小标宋简体" w:eastAsia="方正小标宋简体" w:cs="方正小标宋简体"/>
          <w:b w:val="0"/>
          <w:bCs w:val="0"/>
          <w:color w:val="000000" w:themeColor="text1"/>
          <w14:textFill>
            <w14:solidFill>
              <w14:schemeClr w14:val="tx1"/>
            </w14:solidFill>
          </w14:textFill>
        </w:rPr>
      </w:pPr>
      <w:bookmarkStart w:id="66" w:name="_Toc15377226"/>
      <w:r>
        <w:rPr>
          <w:rFonts w:hint="eastAsia" w:eastAsia="仿宋_GB2312" w:cs="仿宋_GB2312"/>
          <w:color w:val="000000" w:themeColor="text1"/>
          <w:kern w:val="2"/>
          <w:szCs w:val="32"/>
          <w14:textFill>
            <w14:solidFill>
              <w14:schemeClr w14:val="tx1"/>
            </w14:solidFill>
          </w14:textFill>
        </w:rPr>
        <w:br w:type="page"/>
      </w:r>
      <w:bookmarkStart w:id="67" w:name="_Toc15396614"/>
      <w:bookmarkStart w:id="68" w:name="_Toc20215"/>
      <w:r>
        <w:rPr>
          <w:rFonts w:hint="eastAsia" w:ascii="方正小标宋简体" w:hAnsi="方正小标宋简体" w:eastAsia="方正小标宋简体" w:cs="方正小标宋简体"/>
          <w:b w:val="0"/>
          <w:bCs w:val="0"/>
          <w:color w:val="000000" w:themeColor="text1"/>
          <w14:textFill>
            <w14:solidFill>
              <w14:schemeClr w14:val="tx1"/>
            </w14:solidFill>
          </w14:textFill>
        </w:rPr>
        <w:t>第四部分  附件</w:t>
      </w:r>
      <w:bookmarkEnd w:id="67"/>
      <w:bookmarkEnd w:id="68"/>
    </w:p>
    <w:p w14:paraId="1E54A6CE">
      <w:pPr>
        <w:rPr>
          <w:rFonts w:ascii="黑体" w:hAnsi="黑体" w:eastAsia="黑体" w:cs="黑体"/>
          <w:color w:val="000000" w:themeColor="text1"/>
          <w:sz w:val="32"/>
          <w:szCs w:val="32"/>
          <w14:textFill>
            <w14:solidFill>
              <w14:schemeClr w14:val="tx1"/>
            </w14:solidFill>
          </w14:textFill>
        </w:rPr>
      </w:pPr>
      <w:r>
        <w:rPr>
          <w:rFonts w:hint="eastAsia" w:ascii="黑体" w:hAnsi="黑体" w:eastAsia="黑体" w:cs="黑体"/>
          <w:color w:val="000000" w:themeColor="text1"/>
          <w:sz w:val="32"/>
          <w:szCs w:val="32"/>
          <w14:textFill>
            <w14:solidFill>
              <w14:schemeClr w14:val="tx1"/>
            </w14:solidFill>
          </w14:textFill>
        </w:rPr>
        <w:t>附件1</w:t>
      </w:r>
    </w:p>
    <w:p w14:paraId="44DD92C4">
      <w:pPr>
        <w:widowControl/>
        <w:spacing w:line="578" w:lineRule="exact"/>
        <w:contextualSpacing/>
        <w:jc w:val="center"/>
        <w:rPr>
          <w:rFonts w:eastAsia="方正小标宋简体"/>
          <w:bCs/>
          <w:color w:val="000000" w:themeColor="text1"/>
          <w:sz w:val="44"/>
          <w:szCs w:val="44"/>
          <w:shd w:val="clear" w:color="auto" w:fill="FFFFFF"/>
          <w14:textFill>
            <w14:solidFill>
              <w14:schemeClr w14:val="tx1"/>
            </w14:solidFill>
          </w14:textFill>
        </w:rPr>
      </w:pPr>
    </w:p>
    <w:p w14:paraId="727C8E60">
      <w:pPr>
        <w:keepNext w:val="0"/>
        <w:keepLines w:val="0"/>
        <w:pageBreakBefore w:val="0"/>
        <w:widowControl/>
        <w:kinsoku/>
        <w:wordWrap/>
        <w:overflowPunct/>
        <w:topLinePunct w:val="0"/>
        <w:autoSpaceDE/>
        <w:autoSpaceDN/>
        <w:bidi w:val="0"/>
        <w:adjustRightInd/>
        <w:snapToGrid/>
        <w:spacing w:line="0" w:lineRule="atLeast"/>
        <w:contextualSpacing/>
        <w:jc w:val="center"/>
        <w:textAlignment w:val="auto"/>
        <w:rPr>
          <w:rFonts w:eastAsia="方正小标宋简体"/>
          <w:bCs/>
          <w:color w:val="000000" w:themeColor="text1"/>
          <w:sz w:val="44"/>
          <w:szCs w:val="44"/>
          <w:shd w:val="clear" w:color="auto" w:fill="FFFFFF"/>
          <w14:textFill>
            <w14:solidFill>
              <w14:schemeClr w14:val="tx1"/>
            </w14:solidFill>
          </w14:textFill>
        </w:rPr>
      </w:pPr>
      <w:r>
        <w:rPr>
          <w:rFonts w:hint="eastAsia" w:eastAsia="方正小标宋简体"/>
          <w:bCs/>
          <w:color w:val="000000" w:themeColor="text1"/>
          <w:sz w:val="44"/>
          <w:szCs w:val="44"/>
          <w:shd w:val="clear" w:color="auto" w:fill="FFFFFF"/>
          <w14:textFill>
            <w14:solidFill>
              <w14:schemeClr w14:val="tx1"/>
            </w14:solidFill>
          </w14:textFill>
        </w:rPr>
        <w:t>攀枝花市发展和改革委员会</w:t>
      </w:r>
    </w:p>
    <w:p w14:paraId="1729677A">
      <w:pPr>
        <w:keepNext w:val="0"/>
        <w:keepLines w:val="0"/>
        <w:pageBreakBefore w:val="0"/>
        <w:widowControl/>
        <w:kinsoku/>
        <w:wordWrap/>
        <w:overflowPunct/>
        <w:topLinePunct w:val="0"/>
        <w:autoSpaceDE/>
        <w:autoSpaceDN/>
        <w:bidi w:val="0"/>
        <w:adjustRightInd/>
        <w:snapToGrid/>
        <w:spacing w:line="0" w:lineRule="atLeast"/>
        <w:contextualSpacing/>
        <w:jc w:val="center"/>
        <w:textAlignment w:val="auto"/>
        <w:rPr>
          <w:rFonts w:eastAsia="仿宋_GB2312"/>
          <w:color w:val="000000" w:themeColor="text1"/>
          <w:sz w:val="32"/>
          <w:szCs w:val="32"/>
          <w:shd w:val="clear" w:color="auto" w:fill="FFFFFF"/>
          <w14:textFill>
            <w14:solidFill>
              <w14:schemeClr w14:val="tx1"/>
            </w14:solidFill>
          </w14:textFill>
        </w:rPr>
      </w:pPr>
      <w:r>
        <w:rPr>
          <w:rFonts w:eastAsia="方正小标宋简体"/>
          <w:bCs/>
          <w:color w:val="000000" w:themeColor="text1"/>
          <w:sz w:val="44"/>
          <w:szCs w:val="44"/>
          <w:shd w:val="clear" w:color="auto" w:fill="FFFFFF"/>
          <w14:textFill>
            <w14:solidFill>
              <w14:schemeClr w14:val="tx1"/>
            </w14:solidFill>
          </w14:textFill>
        </w:rPr>
        <w:t>部门预算绩效</w:t>
      </w:r>
      <w:r>
        <w:rPr>
          <w:rFonts w:hint="eastAsia" w:eastAsia="方正小标宋简体"/>
          <w:bCs/>
          <w:color w:val="000000" w:themeColor="text1"/>
          <w:sz w:val="44"/>
          <w:szCs w:val="44"/>
          <w:shd w:val="clear" w:color="auto" w:fill="FFFFFF"/>
          <w14:textFill>
            <w14:solidFill>
              <w14:schemeClr w14:val="tx1"/>
            </w14:solidFill>
          </w14:textFill>
        </w:rPr>
        <w:t>评价</w:t>
      </w:r>
      <w:r>
        <w:rPr>
          <w:rFonts w:eastAsia="方正小标宋简体"/>
          <w:bCs/>
          <w:color w:val="000000" w:themeColor="text1"/>
          <w:sz w:val="44"/>
          <w:szCs w:val="44"/>
          <w:shd w:val="clear" w:color="auto" w:fill="FFFFFF"/>
          <w14:textFill>
            <w14:solidFill>
              <w14:schemeClr w14:val="tx1"/>
            </w14:solidFill>
          </w14:textFill>
        </w:rPr>
        <w:t>报告</w:t>
      </w:r>
    </w:p>
    <w:p w14:paraId="70E016AB">
      <w:pPr>
        <w:widowControl/>
        <w:adjustRightInd w:val="0"/>
        <w:snapToGrid w:val="0"/>
        <w:spacing w:line="578" w:lineRule="exact"/>
        <w:ind w:firstLine="480" w:firstLineChars="200"/>
        <w:contextualSpacing/>
        <w:jc w:val="left"/>
        <w:rPr>
          <w:rFonts w:eastAsia="黑体"/>
          <w:color w:val="000000" w:themeColor="text1"/>
          <w:kern w:val="0"/>
          <w:sz w:val="24"/>
          <w:szCs w:val="32"/>
          <w:shd w:val="clear" w:color="auto" w:fill="FFFFFF"/>
          <w14:textFill>
            <w14:solidFill>
              <w14:schemeClr w14:val="tx1"/>
            </w14:solidFill>
          </w14:textFill>
        </w:rPr>
      </w:pPr>
    </w:p>
    <w:p w14:paraId="1172871A">
      <w:pPr>
        <w:keepNext w:val="0"/>
        <w:keepLines w:val="0"/>
        <w:pageBreakBefore w:val="0"/>
        <w:widowControl/>
        <w:kinsoku/>
        <w:wordWrap/>
        <w:overflowPunct/>
        <w:topLinePunct w:val="0"/>
        <w:autoSpaceDE/>
        <w:autoSpaceDN/>
        <w:bidi w:val="0"/>
        <w:adjustRightInd w:val="0"/>
        <w:snapToGrid w:val="0"/>
        <w:spacing w:line="600" w:lineRule="exact"/>
        <w:ind w:firstLine="640" w:firstLineChars="200"/>
        <w:contextualSpacing/>
        <w:jc w:val="both"/>
        <w:textAlignment w:val="auto"/>
        <w:rPr>
          <w:rFonts w:hint="eastAsia" w:ascii="黑体" w:hAnsi="黑体" w:eastAsia="黑体" w:cs="黑体"/>
          <w:color w:val="000000" w:themeColor="text1"/>
          <w:kern w:val="0"/>
          <w:sz w:val="32"/>
          <w:szCs w:val="32"/>
          <w:shd w:val="clear" w:color="auto" w:fill="FFFFFF"/>
          <w:lang w:val="zh-CN"/>
          <w14:textFill>
            <w14:solidFill>
              <w14:schemeClr w14:val="tx1"/>
            </w14:solidFill>
          </w14:textFill>
        </w:rPr>
      </w:pPr>
      <w:r>
        <w:rPr>
          <w:rFonts w:hint="eastAsia" w:ascii="黑体" w:hAnsi="黑体" w:eastAsia="黑体" w:cs="黑体"/>
          <w:color w:val="000000" w:themeColor="text1"/>
          <w:kern w:val="0"/>
          <w:sz w:val="32"/>
          <w:szCs w:val="32"/>
          <w:shd w:val="clear" w:color="auto" w:fill="FFFFFF"/>
          <w:lang w:val="zh-CN"/>
          <w14:textFill>
            <w14:solidFill>
              <w14:schemeClr w14:val="tx1"/>
            </w14:solidFill>
          </w14:textFill>
        </w:rPr>
        <w:t>一、部门基本情况</w:t>
      </w:r>
    </w:p>
    <w:p w14:paraId="0E1EBFE4">
      <w:pPr>
        <w:keepNext w:val="0"/>
        <w:keepLines w:val="0"/>
        <w:pageBreakBefore w:val="0"/>
        <w:kinsoku/>
        <w:wordWrap/>
        <w:overflowPunct/>
        <w:topLinePunct w:val="0"/>
        <w:autoSpaceDE/>
        <w:autoSpaceDN/>
        <w:bidi w:val="0"/>
        <w:adjustRightInd w:val="0"/>
        <w:snapToGrid w:val="0"/>
        <w:spacing w:line="600" w:lineRule="exact"/>
        <w:ind w:firstLine="643" w:firstLineChars="200"/>
        <w:contextualSpacing/>
        <w:jc w:val="both"/>
        <w:textAlignment w:val="auto"/>
        <w:rPr>
          <w:rFonts w:hint="eastAsia" w:ascii="Times New Roman" w:hAnsi="Times New Roman" w:eastAsia="仿宋_GB2312" w:cs="仿宋_GB2312"/>
          <w:color w:val="000000" w:themeColor="text1"/>
          <w:szCs w:val="32"/>
          <w14:textFill>
            <w14:solidFill>
              <w14:schemeClr w14:val="tx1"/>
            </w14:solidFill>
          </w14:textFill>
        </w:rPr>
      </w:pPr>
      <w:r>
        <w:rPr>
          <w:rFonts w:hint="eastAsia" w:eastAsia="楷体_GB2312" w:cs="楷体_GB2312"/>
          <w:b/>
          <w:color w:val="000000" w:themeColor="text1"/>
          <w:sz w:val="32"/>
          <w:szCs w:val="32"/>
          <w:lang w:val="zh-CN"/>
          <w14:textFill>
            <w14:solidFill>
              <w14:schemeClr w14:val="tx1"/>
            </w14:solidFill>
          </w14:textFill>
        </w:rPr>
        <w:t>（一）机构组成。</w:t>
      </w:r>
      <w:r>
        <w:rPr>
          <w:rFonts w:hint="eastAsia" w:ascii="Times New Roman" w:hAnsi="Times New Roman" w:eastAsia="仿宋_GB2312" w:cs="仿宋_GB2312"/>
          <w:color w:val="000000" w:themeColor="text1"/>
          <w:sz w:val="32"/>
          <w:szCs w:val="32"/>
          <w14:textFill>
            <w14:solidFill>
              <w14:schemeClr w14:val="tx1"/>
            </w14:solidFill>
          </w14:textFill>
        </w:rPr>
        <w:t>市发展改革委共设置25个内设科室，1个驻委纪检监察组，4个下属事业单位：市大数据中心、市价格认证中心、市重要和应急物资储备中心、市重大项目储备中心。</w:t>
      </w:r>
    </w:p>
    <w:p w14:paraId="20D3E15B">
      <w:pPr>
        <w:keepNext w:val="0"/>
        <w:keepLines w:val="0"/>
        <w:pageBreakBefore w:val="0"/>
        <w:widowControl/>
        <w:kinsoku/>
        <w:wordWrap/>
        <w:overflowPunct/>
        <w:topLinePunct w:val="0"/>
        <w:autoSpaceDE/>
        <w:autoSpaceDN/>
        <w:bidi w:val="0"/>
        <w:adjustRightInd w:val="0"/>
        <w:snapToGrid w:val="0"/>
        <w:spacing w:line="600" w:lineRule="exact"/>
        <w:ind w:firstLine="643" w:firstLineChars="200"/>
        <w:contextualSpacing/>
        <w:jc w:val="both"/>
        <w:textAlignment w:val="auto"/>
        <w:rPr>
          <w:rFonts w:hint="eastAsia" w:ascii="Times New Roman" w:hAnsi="Times New Roman" w:eastAsia="仿宋_GB2312" w:cs="仿宋_GB2312"/>
          <w:b/>
          <w:bCs/>
          <w:color w:val="000000" w:themeColor="text1"/>
          <w:kern w:val="0"/>
          <w:szCs w:val="32"/>
          <w:shd w:val="clear" w:color="auto" w:fill="FFFFFF"/>
          <w:lang w:val="zh-CN"/>
          <w14:textFill>
            <w14:solidFill>
              <w14:schemeClr w14:val="tx1"/>
            </w14:solidFill>
          </w14:textFill>
        </w:rPr>
      </w:pPr>
      <w:r>
        <w:rPr>
          <w:rFonts w:hint="eastAsia" w:eastAsia="楷体_GB2312" w:cs="楷体_GB2312"/>
          <w:b/>
          <w:color w:val="000000" w:themeColor="text1"/>
          <w:sz w:val="32"/>
          <w:szCs w:val="32"/>
          <w:lang w:val="zh-CN"/>
          <w14:textFill>
            <w14:solidFill>
              <w14:schemeClr w14:val="tx1"/>
            </w14:solidFill>
          </w14:textFill>
        </w:rPr>
        <w:t>（二）机构职能。</w:t>
      </w:r>
      <w:r>
        <w:rPr>
          <w:rFonts w:hint="eastAsia" w:ascii="Times New Roman" w:hAnsi="Times New Roman" w:eastAsia="仿宋_GB2312" w:cs="仿宋_GB2312"/>
          <w:color w:val="000000" w:themeColor="text1"/>
          <w:sz w:val="32"/>
          <w:szCs w:val="32"/>
          <w14:textFill>
            <w14:solidFill>
              <w14:schemeClr w14:val="tx1"/>
            </w14:solidFill>
          </w14:textFill>
        </w:rPr>
        <w:t>攀枝花市发展和改革委员会贯彻执行国家有关国民经济和社会发展、经济体制改革的方针、政策和法律、法规；负责汇总分析全市财政、金融等方面情况，参与拟订财政、金融、土地政策；承担指导推进和综合协调全市经济体制改革的责任，研究经济体制改革和对外开放的重大问题及对策；贯彻执行国家和省价格法律、法规和方针、政策，编制和执行价格调整改革规划，组织实施年度价格总水平调控目标及价格调控措施；负责全市投资宏观管理和协调推进重大项目建设，拟订全社会固定资产投资总规模和投资结构的调控目标等；推进经济结构战略性调整，组织拟订全市综合性产业政策，推进重大科技成果产业化；促进城乡区域协调发展，研究分析区域经济和城镇化发展情况；负责重要商品总量平衡和宏观调控，研究分析市内外市场和对外贸易运行情况；负责全市社会发展与国民经济发展的政策衔接，组织拟订社会发展战略、中长期规划和年度计划；推进可持续发展战略，负责全市节能减排的综合协调工作；研究提出全市能源发展战略和政策措施，拟订全市能源发展规划并提出相关体制改革建议；负责指导和协调全市招标投标工作；负责全市铁路建设项目前期工作，组织协调铁路建设工作中的征地拆迁和重大问题；贯彻执行国家、省以工代赈政策，促进民族地区经济社会持续、稳定、协调发展；承担市资源开发委员会（市实施西部大开发领导小组）的具体工作；承担市政府公布的有关行政审批事项；承办市政府交办的其他事项。</w:t>
      </w:r>
    </w:p>
    <w:p w14:paraId="7BF17D0A">
      <w:pPr>
        <w:keepNext w:val="0"/>
        <w:keepLines w:val="0"/>
        <w:pageBreakBefore w:val="0"/>
        <w:widowControl/>
        <w:kinsoku/>
        <w:wordWrap/>
        <w:overflowPunct/>
        <w:topLinePunct w:val="0"/>
        <w:autoSpaceDE/>
        <w:autoSpaceDN/>
        <w:bidi w:val="0"/>
        <w:adjustRightInd w:val="0"/>
        <w:snapToGrid w:val="0"/>
        <w:spacing w:line="600" w:lineRule="exact"/>
        <w:ind w:firstLine="643" w:firstLineChars="200"/>
        <w:contextualSpacing/>
        <w:jc w:val="both"/>
        <w:textAlignment w:val="auto"/>
        <w:rPr>
          <w:rFonts w:hint="eastAsia" w:ascii="Times New Roman" w:hAnsi="Times New Roman" w:eastAsia="仿宋_GB2312" w:cs="仿宋_GB2312"/>
          <w:color w:val="000000" w:themeColor="text1"/>
          <w:szCs w:val="32"/>
          <w14:textFill>
            <w14:solidFill>
              <w14:schemeClr w14:val="tx1"/>
            </w14:solidFill>
          </w14:textFill>
        </w:rPr>
      </w:pPr>
      <w:r>
        <w:rPr>
          <w:rFonts w:hint="eastAsia" w:eastAsia="楷体_GB2312" w:cs="楷体_GB2312"/>
          <w:b/>
          <w:color w:val="000000" w:themeColor="text1"/>
          <w:sz w:val="32"/>
          <w:szCs w:val="32"/>
          <w:lang w:val="zh-CN"/>
          <w14:textFill>
            <w14:solidFill>
              <w14:schemeClr w14:val="tx1"/>
            </w14:solidFill>
          </w14:textFill>
        </w:rPr>
        <w:t>（三）人员概况。</w:t>
      </w:r>
      <w:r>
        <w:rPr>
          <w:rFonts w:hint="eastAsia" w:ascii="Times New Roman" w:hAnsi="Times New Roman" w:eastAsia="仿宋_GB2312" w:cs="仿宋_GB2312"/>
          <w:color w:val="000000" w:themeColor="text1"/>
          <w:sz w:val="32"/>
          <w:szCs w:val="32"/>
          <w14:textFill>
            <w14:solidFill>
              <w14:schemeClr w14:val="tx1"/>
            </w14:solidFill>
          </w14:textFill>
        </w:rPr>
        <w:t>截至2025年末，市发展改革委行政编制70人，实有人数67人；工勤编制11人，实有人数7人（含86号文管理人员2人）；事业编制40人，实有人数38人；离休人员0人，退休人员94人；根据工作需要自聘人员3人。</w:t>
      </w:r>
    </w:p>
    <w:p w14:paraId="5CF6F579">
      <w:pPr>
        <w:keepNext w:val="0"/>
        <w:keepLines w:val="0"/>
        <w:pageBreakBefore w:val="0"/>
        <w:widowControl/>
        <w:kinsoku/>
        <w:wordWrap/>
        <w:overflowPunct/>
        <w:topLinePunct w:val="0"/>
        <w:autoSpaceDE/>
        <w:autoSpaceDN/>
        <w:bidi w:val="0"/>
        <w:adjustRightInd w:val="0"/>
        <w:snapToGrid w:val="0"/>
        <w:spacing w:line="600" w:lineRule="exact"/>
        <w:ind w:firstLine="640" w:firstLineChars="200"/>
        <w:contextualSpacing/>
        <w:jc w:val="both"/>
        <w:textAlignment w:val="auto"/>
        <w:rPr>
          <w:rFonts w:hint="eastAsia" w:ascii="黑体" w:hAnsi="黑体" w:eastAsia="黑体" w:cs="黑体"/>
          <w:color w:val="000000" w:themeColor="text1"/>
          <w:kern w:val="0"/>
          <w:sz w:val="32"/>
          <w:szCs w:val="32"/>
          <w:shd w:val="clear" w:color="auto" w:fill="FFFFFF"/>
          <w:lang w:val="zh-CN"/>
          <w14:textFill>
            <w14:solidFill>
              <w14:schemeClr w14:val="tx1"/>
            </w14:solidFill>
          </w14:textFill>
        </w:rPr>
      </w:pPr>
      <w:r>
        <w:rPr>
          <w:rFonts w:hint="eastAsia" w:ascii="黑体" w:hAnsi="黑体" w:eastAsia="黑体" w:cs="黑体"/>
          <w:color w:val="000000" w:themeColor="text1"/>
          <w:kern w:val="0"/>
          <w:sz w:val="32"/>
          <w:szCs w:val="32"/>
          <w:shd w:val="clear" w:color="auto" w:fill="FFFFFF"/>
          <w:lang w:val="zh-CN"/>
          <w14:textFill>
            <w14:solidFill>
              <w14:schemeClr w14:val="tx1"/>
            </w14:solidFill>
          </w14:textFill>
        </w:rPr>
        <w:t>二、部门资金收支情况</w:t>
      </w:r>
    </w:p>
    <w:p w14:paraId="49FF2AA4">
      <w:pPr>
        <w:keepNext w:val="0"/>
        <w:keepLines w:val="0"/>
        <w:pageBreakBefore w:val="0"/>
        <w:widowControl/>
        <w:kinsoku/>
        <w:wordWrap/>
        <w:overflowPunct/>
        <w:topLinePunct w:val="0"/>
        <w:autoSpaceDE/>
        <w:autoSpaceDN/>
        <w:bidi w:val="0"/>
        <w:adjustRightInd w:val="0"/>
        <w:snapToGrid w:val="0"/>
        <w:spacing w:line="600" w:lineRule="exact"/>
        <w:ind w:firstLine="643" w:firstLineChars="200"/>
        <w:contextualSpacing/>
        <w:jc w:val="both"/>
        <w:textAlignment w:val="auto"/>
        <w:rPr>
          <w:rFonts w:hint="eastAsia" w:ascii="Times New Roman" w:hAnsi="Times New Roman" w:eastAsia="仿宋_GB2312" w:cs="仿宋_GB2312"/>
          <w:color w:val="000000" w:themeColor="text1"/>
          <w:sz w:val="32"/>
          <w:szCs w:val="32"/>
          <w14:textFill>
            <w14:solidFill>
              <w14:schemeClr w14:val="tx1"/>
            </w14:solidFill>
          </w14:textFill>
        </w:rPr>
      </w:pPr>
      <w:r>
        <w:rPr>
          <w:rFonts w:hint="eastAsia" w:eastAsia="楷体_GB2312" w:cs="楷体_GB2312"/>
          <w:b/>
          <w:color w:val="000000" w:themeColor="text1"/>
          <w:sz w:val="32"/>
          <w:szCs w:val="32"/>
          <w:lang w:val="zh-CN"/>
          <w14:textFill>
            <w14:solidFill>
              <w14:schemeClr w14:val="tx1"/>
            </w14:solidFill>
          </w14:textFill>
        </w:rPr>
        <w:t>（一）收入情况。</w:t>
      </w:r>
      <w:r>
        <w:rPr>
          <w:rFonts w:hint="eastAsia" w:ascii="Times New Roman" w:hAnsi="Times New Roman" w:eastAsia="仿宋_GB2312" w:cs="仿宋_GB2312"/>
          <w:color w:val="000000" w:themeColor="text1"/>
          <w:sz w:val="32"/>
          <w:szCs w:val="32"/>
          <w:highlight w:val="none"/>
          <w14:textFill>
            <w14:solidFill>
              <w14:schemeClr w14:val="tx1"/>
            </w14:solidFill>
          </w14:textFill>
        </w:rPr>
        <w:t>市发展改革委2025年财政拨款年初预算收入3</w:t>
      </w:r>
      <w:r>
        <w:rPr>
          <w:rFonts w:hint="eastAsia" w:eastAsia="仿宋_GB2312" w:cs="仿宋_GB2312"/>
          <w:color w:val="000000" w:themeColor="text1"/>
          <w:sz w:val="32"/>
          <w:szCs w:val="32"/>
          <w:highlight w:val="none"/>
          <w:lang w:val="en-US" w:eastAsia="zh-CN"/>
          <w14:textFill>
            <w14:solidFill>
              <w14:schemeClr w14:val="tx1"/>
            </w14:solidFill>
          </w14:textFill>
        </w:rPr>
        <w:t>,</w:t>
      </w:r>
      <w:r>
        <w:rPr>
          <w:rFonts w:hint="eastAsia" w:ascii="Times New Roman" w:hAnsi="Times New Roman" w:eastAsia="仿宋_GB2312" w:cs="仿宋_GB2312"/>
          <w:color w:val="000000" w:themeColor="text1"/>
          <w:sz w:val="32"/>
          <w:szCs w:val="32"/>
          <w:highlight w:val="none"/>
          <w14:textFill>
            <w14:solidFill>
              <w14:schemeClr w14:val="tx1"/>
            </w14:solidFill>
          </w14:textFill>
        </w:rPr>
        <w:t>056.64万元，其中一般公共服务支出预算下达2</w:t>
      </w:r>
      <w:r>
        <w:rPr>
          <w:rFonts w:hint="eastAsia" w:eastAsia="仿宋_GB2312" w:cs="仿宋_GB2312"/>
          <w:color w:val="000000" w:themeColor="text1"/>
          <w:sz w:val="32"/>
          <w:szCs w:val="32"/>
          <w:highlight w:val="none"/>
          <w:lang w:val="en-US" w:eastAsia="zh-CN"/>
          <w14:textFill>
            <w14:solidFill>
              <w14:schemeClr w14:val="tx1"/>
            </w14:solidFill>
          </w14:textFill>
        </w:rPr>
        <w:t>,</w:t>
      </w:r>
      <w:r>
        <w:rPr>
          <w:rFonts w:hint="eastAsia" w:ascii="Times New Roman" w:hAnsi="Times New Roman" w:eastAsia="仿宋_GB2312" w:cs="仿宋_GB2312"/>
          <w:color w:val="000000" w:themeColor="text1"/>
          <w:sz w:val="32"/>
          <w:szCs w:val="32"/>
          <w:highlight w:val="none"/>
          <w14:textFill>
            <w14:solidFill>
              <w14:schemeClr w14:val="tx1"/>
            </w14:solidFill>
          </w14:textFill>
        </w:rPr>
        <w:t>205.28万元，社会保障和就业支出预算下达530.09万元，卫生健康支出预算下达142.14万元，住房保障支出预算下达179.13万元，</w:t>
      </w:r>
      <w:r>
        <w:rPr>
          <w:rFonts w:hint="eastAsia" w:ascii="Times New Roman" w:hAnsi="Times New Roman" w:eastAsia="仿宋_GB2312" w:cs="仿宋_GB2312"/>
          <w:color w:val="000000" w:themeColor="text1"/>
          <w:sz w:val="32"/>
          <w:szCs w:val="32"/>
          <w14:textFill>
            <w14:solidFill>
              <w14:schemeClr w14:val="tx1"/>
            </w14:solidFill>
          </w14:textFill>
        </w:rPr>
        <w:t>2025年年初财政拨款主要是保障部门正常运转、完成日常工作任务而发生的各项支出，突出财政资金保工资、保运转、保民生的“三保”特点，其中一般公共服务支出占比较大，占年初预算收入的72.15%。</w:t>
      </w:r>
    </w:p>
    <w:p w14:paraId="59013460">
      <w:pPr>
        <w:keepNext w:val="0"/>
        <w:keepLines w:val="0"/>
        <w:pageBreakBefore w:val="0"/>
        <w:widowControl/>
        <w:kinsoku/>
        <w:wordWrap/>
        <w:overflowPunct/>
        <w:topLinePunct w:val="0"/>
        <w:autoSpaceDE/>
        <w:autoSpaceDN/>
        <w:bidi w:val="0"/>
        <w:adjustRightInd w:val="0"/>
        <w:snapToGrid w:val="0"/>
        <w:spacing w:line="600" w:lineRule="exact"/>
        <w:ind w:firstLine="640" w:firstLineChars="200"/>
        <w:contextualSpacing/>
        <w:jc w:val="both"/>
        <w:textAlignment w:val="auto"/>
        <w:rPr>
          <w:rFonts w:hint="eastAsia" w:ascii="Times New Roman" w:hAnsi="Times New Roman" w:eastAsia="仿宋_GB2312" w:cs="仿宋_GB2312"/>
          <w:color w:val="000000" w:themeColor="text1"/>
          <w:sz w:val="32"/>
          <w:szCs w:val="32"/>
          <w14:textFill>
            <w14:solidFill>
              <w14:schemeClr w14:val="tx1"/>
            </w14:solidFill>
          </w14:textFill>
        </w:rPr>
      </w:pPr>
      <w:r>
        <w:rPr>
          <w:rFonts w:hint="eastAsia" w:ascii="Times New Roman" w:hAnsi="Times New Roman" w:eastAsia="仿宋_GB2312" w:cs="仿宋_GB2312"/>
          <w:color w:val="000000" w:themeColor="text1"/>
          <w:sz w:val="32"/>
          <w:szCs w:val="32"/>
          <w14:textFill>
            <w14:solidFill>
              <w14:schemeClr w14:val="tx1"/>
            </w14:solidFill>
          </w14:textFill>
        </w:rPr>
        <w:t>2025年部门决算全年财政拨款收入3</w:t>
      </w:r>
      <w:r>
        <w:rPr>
          <w:rFonts w:hint="eastAsia" w:eastAsia="仿宋_GB2312" w:cs="仿宋_GB2312"/>
          <w:color w:val="000000" w:themeColor="text1"/>
          <w:sz w:val="32"/>
          <w:szCs w:val="32"/>
          <w:lang w:val="en-US" w:eastAsia="zh-CN"/>
          <w14:textFill>
            <w14:solidFill>
              <w14:schemeClr w14:val="tx1"/>
            </w14:solidFill>
          </w14:textFill>
        </w:rPr>
        <w:t>,</w:t>
      </w:r>
      <w:r>
        <w:rPr>
          <w:rFonts w:hint="eastAsia" w:ascii="Times New Roman" w:hAnsi="Times New Roman" w:eastAsia="仿宋_GB2312" w:cs="仿宋_GB2312"/>
          <w:color w:val="000000" w:themeColor="text1"/>
          <w:sz w:val="32"/>
          <w:szCs w:val="32"/>
          <w14:textFill>
            <w14:solidFill>
              <w14:schemeClr w14:val="tx1"/>
            </w14:solidFill>
          </w14:textFill>
        </w:rPr>
        <w:t>641.97万元，其中基本支出2</w:t>
      </w:r>
      <w:r>
        <w:rPr>
          <w:rFonts w:hint="eastAsia" w:eastAsia="仿宋_GB2312" w:cs="仿宋_GB2312"/>
          <w:color w:val="000000" w:themeColor="text1"/>
          <w:sz w:val="32"/>
          <w:szCs w:val="32"/>
          <w:lang w:val="en-US" w:eastAsia="zh-CN"/>
          <w14:textFill>
            <w14:solidFill>
              <w14:schemeClr w14:val="tx1"/>
            </w14:solidFill>
          </w14:textFill>
        </w:rPr>
        <w:t>,</w:t>
      </w:r>
      <w:r>
        <w:rPr>
          <w:rFonts w:hint="eastAsia" w:ascii="Times New Roman" w:hAnsi="Times New Roman" w:eastAsia="仿宋_GB2312" w:cs="仿宋_GB2312"/>
          <w:color w:val="000000" w:themeColor="text1"/>
          <w:sz w:val="32"/>
          <w:szCs w:val="32"/>
          <w14:textFill>
            <w14:solidFill>
              <w14:schemeClr w14:val="tx1"/>
            </w14:solidFill>
          </w14:textFill>
        </w:rPr>
        <w:t>939.88万元，占财政拨款收入的80.72%，项目经费支出702.09万元，占财政拨款收入的19.28%。</w:t>
      </w:r>
    </w:p>
    <w:p w14:paraId="46D4B136">
      <w:pPr>
        <w:keepNext w:val="0"/>
        <w:keepLines w:val="0"/>
        <w:pageBreakBefore w:val="0"/>
        <w:widowControl/>
        <w:kinsoku/>
        <w:wordWrap/>
        <w:overflowPunct/>
        <w:topLinePunct w:val="0"/>
        <w:autoSpaceDE/>
        <w:autoSpaceDN/>
        <w:bidi w:val="0"/>
        <w:adjustRightInd w:val="0"/>
        <w:snapToGrid w:val="0"/>
        <w:spacing w:line="600" w:lineRule="exact"/>
        <w:ind w:firstLine="643" w:firstLineChars="200"/>
        <w:contextualSpacing/>
        <w:jc w:val="both"/>
        <w:textAlignment w:val="auto"/>
        <w:rPr>
          <w:rFonts w:hint="eastAsia" w:ascii="Times New Roman" w:hAnsi="Times New Roman" w:eastAsia="仿宋_GB2312" w:cs="仿宋_GB2312"/>
          <w:color w:val="000000" w:themeColor="text1"/>
          <w:sz w:val="32"/>
          <w:szCs w:val="32"/>
          <w:highlight w:val="none"/>
          <w14:textFill>
            <w14:solidFill>
              <w14:schemeClr w14:val="tx1"/>
            </w14:solidFill>
          </w14:textFill>
        </w:rPr>
      </w:pPr>
      <w:r>
        <w:rPr>
          <w:rFonts w:hint="eastAsia" w:eastAsia="楷体_GB2312" w:cs="楷体_GB2312"/>
          <w:b/>
          <w:color w:val="000000" w:themeColor="text1"/>
          <w:sz w:val="32"/>
          <w:szCs w:val="32"/>
          <w:lang w:val="zh-CN"/>
          <w14:textFill>
            <w14:solidFill>
              <w14:schemeClr w14:val="tx1"/>
            </w14:solidFill>
          </w14:textFill>
        </w:rPr>
        <w:t>（二）支出情况。</w:t>
      </w:r>
      <w:r>
        <w:rPr>
          <w:rFonts w:hint="eastAsia" w:ascii="Times New Roman" w:hAnsi="Times New Roman" w:eastAsia="仿宋_GB2312" w:cs="仿宋_GB2312"/>
          <w:color w:val="000000" w:themeColor="text1"/>
          <w:sz w:val="32"/>
          <w:szCs w:val="32"/>
          <w:highlight w:val="none"/>
          <w14:textFill>
            <w14:solidFill>
              <w14:schemeClr w14:val="tx1"/>
            </w14:solidFill>
          </w14:textFill>
        </w:rPr>
        <w:t>市发展改革委2025年年初预算支出3</w:t>
      </w:r>
      <w:r>
        <w:rPr>
          <w:rFonts w:hint="eastAsia" w:eastAsia="仿宋_GB2312" w:cs="仿宋_GB2312"/>
          <w:color w:val="000000" w:themeColor="text1"/>
          <w:sz w:val="32"/>
          <w:szCs w:val="32"/>
          <w:highlight w:val="none"/>
          <w:lang w:val="en-US" w:eastAsia="zh-CN"/>
          <w14:textFill>
            <w14:solidFill>
              <w14:schemeClr w14:val="tx1"/>
            </w14:solidFill>
          </w14:textFill>
        </w:rPr>
        <w:t>,</w:t>
      </w:r>
      <w:r>
        <w:rPr>
          <w:rFonts w:hint="eastAsia" w:ascii="Times New Roman" w:hAnsi="Times New Roman" w:eastAsia="仿宋_GB2312" w:cs="仿宋_GB2312"/>
          <w:color w:val="000000" w:themeColor="text1"/>
          <w:sz w:val="32"/>
          <w:szCs w:val="32"/>
          <w:highlight w:val="none"/>
          <w14:textFill>
            <w14:solidFill>
              <w14:schemeClr w14:val="tx1"/>
            </w14:solidFill>
          </w14:textFill>
        </w:rPr>
        <w:t>056.64万元，其中人员经费支出2</w:t>
      </w:r>
      <w:r>
        <w:rPr>
          <w:rFonts w:hint="eastAsia" w:eastAsia="仿宋_GB2312" w:cs="仿宋_GB2312"/>
          <w:color w:val="000000" w:themeColor="text1"/>
          <w:sz w:val="32"/>
          <w:szCs w:val="32"/>
          <w:highlight w:val="none"/>
          <w:lang w:val="en-US" w:eastAsia="zh-CN"/>
          <w14:textFill>
            <w14:solidFill>
              <w14:schemeClr w14:val="tx1"/>
            </w14:solidFill>
          </w14:textFill>
        </w:rPr>
        <w:t>,</w:t>
      </w:r>
      <w:r>
        <w:rPr>
          <w:rFonts w:hint="eastAsia" w:ascii="Times New Roman" w:hAnsi="Times New Roman" w:eastAsia="仿宋_GB2312" w:cs="仿宋_GB2312"/>
          <w:color w:val="000000" w:themeColor="text1"/>
          <w:sz w:val="32"/>
          <w:szCs w:val="32"/>
          <w:highlight w:val="none"/>
          <w14:textFill>
            <w14:solidFill>
              <w14:schemeClr w14:val="tx1"/>
            </w14:solidFill>
          </w14:textFill>
        </w:rPr>
        <w:t>337.21万元，日常公用经费支出320.48万元，项目支出398.95万元。</w:t>
      </w:r>
    </w:p>
    <w:p w14:paraId="33C4C151">
      <w:pPr>
        <w:keepNext w:val="0"/>
        <w:keepLines w:val="0"/>
        <w:pageBreakBefore w:val="0"/>
        <w:widowControl/>
        <w:kinsoku/>
        <w:wordWrap/>
        <w:overflowPunct/>
        <w:topLinePunct w:val="0"/>
        <w:autoSpaceDE/>
        <w:autoSpaceDN/>
        <w:bidi w:val="0"/>
        <w:adjustRightInd w:val="0"/>
        <w:snapToGrid w:val="0"/>
        <w:spacing w:line="600" w:lineRule="exact"/>
        <w:ind w:firstLine="640" w:firstLineChars="200"/>
        <w:contextualSpacing/>
        <w:jc w:val="both"/>
        <w:textAlignment w:val="auto"/>
        <w:rPr>
          <w:rFonts w:hint="eastAsia" w:ascii="Times New Roman" w:hAnsi="Times New Roman" w:eastAsia="仿宋_GB2312" w:cs="仿宋_GB2312"/>
          <w:color w:val="000000" w:themeColor="text1"/>
          <w:sz w:val="32"/>
          <w:szCs w:val="32"/>
          <w14:textFill>
            <w14:solidFill>
              <w14:schemeClr w14:val="tx1"/>
            </w14:solidFill>
          </w14:textFill>
        </w:rPr>
      </w:pPr>
      <w:r>
        <w:rPr>
          <w:rFonts w:hint="eastAsia" w:ascii="Times New Roman" w:hAnsi="Times New Roman" w:eastAsia="仿宋_GB2312" w:cs="仿宋_GB2312"/>
          <w:color w:val="000000" w:themeColor="text1"/>
          <w:sz w:val="32"/>
          <w:szCs w:val="32"/>
          <w14:textFill>
            <w14:solidFill>
              <w14:schemeClr w14:val="tx1"/>
            </w14:solidFill>
          </w14:textFill>
        </w:rPr>
        <w:t>2025年部门决算全年财政拨款支出3</w:t>
      </w:r>
      <w:r>
        <w:rPr>
          <w:rFonts w:hint="eastAsia" w:eastAsia="仿宋_GB2312" w:cs="仿宋_GB2312"/>
          <w:color w:val="000000" w:themeColor="text1"/>
          <w:sz w:val="32"/>
          <w:szCs w:val="32"/>
          <w:lang w:val="en-US" w:eastAsia="zh-CN"/>
          <w14:textFill>
            <w14:solidFill>
              <w14:schemeClr w14:val="tx1"/>
            </w14:solidFill>
          </w14:textFill>
        </w:rPr>
        <w:t>,</w:t>
      </w:r>
      <w:r>
        <w:rPr>
          <w:rFonts w:hint="eastAsia" w:ascii="Times New Roman" w:hAnsi="Times New Roman" w:eastAsia="仿宋_GB2312" w:cs="仿宋_GB2312"/>
          <w:color w:val="000000" w:themeColor="text1"/>
          <w:sz w:val="32"/>
          <w:szCs w:val="32"/>
          <w14:textFill>
            <w14:solidFill>
              <w14:schemeClr w14:val="tx1"/>
            </w14:solidFill>
          </w14:textFill>
        </w:rPr>
        <w:t>641.97万元，其中基本支出2</w:t>
      </w:r>
      <w:r>
        <w:rPr>
          <w:rFonts w:hint="eastAsia" w:eastAsia="仿宋_GB2312" w:cs="仿宋_GB2312"/>
          <w:color w:val="000000" w:themeColor="text1"/>
          <w:sz w:val="32"/>
          <w:szCs w:val="32"/>
          <w:lang w:val="en-US" w:eastAsia="zh-CN"/>
          <w14:textFill>
            <w14:solidFill>
              <w14:schemeClr w14:val="tx1"/>
            </w14:solidFill>
          </w14:textFill>
        </w:rPr>
        <w:t>,</w:t>
      </w:r>
      <w:r>
        <w:rPr>
          <w:rFonts w:hint="eastAsia" w:ascii="Times New Roman" w:hAnsi="Times New Roman" w:eastAsia="仿宋_GB2312" w:cs="仿宋_GB2312"/>
          <w:color w:val="000000" w:themeColor="text1"/>
          <w:sz w:val="32"/>
          <w:szCs w:val="32"/>
          <w14:textFill>
            <w14:solidFill>
              <w14:schemeClr w14:val="tx1"/>
            </w14:solidFill>
          </w14:textFill>
        </w:rPr>
        <w:t>939.88万元，占财政拨款收入的80.72%，其中人员经费支出2</w:t>
      </w:r>
      <w:r>
        <w:rPr>
          <w:rFonts w:hint="eastAsia" w:eastAsia="仿宋_GB2312" w:cs="仿宋_GB2312"/>
          <w:color w:val="000000" w:themeColor="text1"/>
          <w:sz w:val="32"/>
          <w:szCs w:val="32"/>
          <w:lang w:val="en-US" w:eastAsia="zh-CN"/>
          <w14:textFill>
            <w14:solidFill>
              <w14:schemeClr w14:val="tx1"/>
            </w14:solidFill>
          </w14:textFill>
        </w:rPr>
        <w:t>,</w:t>
      </w:r>
      <w:r>
        <w:rPr>
          <w:rFonts w:hint="eastAsia" w:ascii="Times New Roman" w:hAnsi="Times New Roman" w:eastAsia="仿宋_GB2312" w:cs="仿宋_GB2312"/>
          <w:color w:val="000000" w:themeColor="text1"/>
          <w:sz w:val="32"/>
          <w:szCs w:val="32"/>
          <w14:textFill>
            <w14:solidFill>
              <w14:schemeClr w14:val="tx1"/>
            </w14:solidFill>
          </w14:textFill>
        </w:rPr>
        <w:t>663.48万元，日常公用经费支出276.4万元；项目经费支出702.09万元，占财政拨款收入的19.28%。</w:t>
      </w:r>
    </w:p>
    <w:p w14:paraId="44D1F794">
      <w:pPr>
        <w:keepNext w:val="0"/>
        <w:keepLines w:val="0"/>
        <w:pageBreakBefore w:val="0"/>
        <w:widowControl/>
        <w:kinsoku/>
        <w:wordWrap/>
        <w:overflowPunct/>
        <w:topLinePunct w:val="0"/>
        <w:autoSpaceDE/>
        <w:autoSpaceDN/>
        <w:bidi w:val="0"/>
        <w:adjustRightInd w:val="0"/>
        <w:snapToGrid w:val="0"/>
        <w:spacing w:line="600" w:lineRule="exact"/>
        <w:ind w:firstLine="643" w:firstLineChars="200"/>
        <w:contextualSpacing/>
        <w:jc w:val="both"/>
        <w:textAlignment w:val="auto"/>
        <w:rPr>
          <w:rFonts w:hint="eastAsia" w:ascii="Times New Roman" w:hAnsi="Times New Roman" w:eastAsia="仿宋_GB2312" w:cs="仿宋_GB2312"/>
          <w:color w:val="000000" w:themeColor="text1"/>
          <w:sz w:val="32"/>
          <w:szCs w:val="32"/>
          <w:lang w:val="zh-CN"/>
          <w14:textFill>
            <w14:solidFill>
              <w14:schemeClr w14:val="tx1"/>
            </w14:solidFill>
          </w14:textFill>
        </w:rPr>
      </w:pPr>
      <w:r>
        <w:rPr>
          <w:rFonts w:hint="eastAsia" w:eastAsia="楷体_GB2312" w:cs="楷体_GB2312"/>
          <w:b/>
          <w:color w:val="000000" w:themeColor="text1"/>
          <w:sz w:val="32"/>
          <w:szCs w:val="32"/>
          <w:lang w:val="zh-CN"/>
          <w14:textFill>
            <w14:solidFill>
              <w14:schemeClr w14:val="tx1"/>
            </w14:solidFill>
          </w14:textFill>
        </w:rPr>
        <w:t>（三）结余分配和结转结余情况。</w:t>
      </w:r>
      <w:r>
        <w:rPr>
          <w:rFonts w:hint="eastAsia" w:ascii="Times New Roman" w:hAnsi="Times New Roman" w:eastAsia="仿宋_GB2312" w:cs="仿宋_GB2312"/>
          <w:color w:val="000000" w:themeColor="text1"/>
          <w:sz w:val="32"/>
          <w:szCs w:val="32"/>
          <w:lang w:val="zh-CN"/>
          <w14:textFill>
            <w14:solidFill>
              <w14:schemeClr w14:val="tx1"/>
            </w14:solidFill>
          </w14:textFill>
        </w:rPr>
        <w:t>2025年年初结转和结余资金330.94元，非财政拨款结转和结余330.94万元。</w:t>
      </w:r>
    </w:p>
    <w:p w14:paraId="36299A19">
      <w:pPr>
        <w:keepNext w:val="0"/>
        <w:keepLines w:val="0"/>
        <w:pageBreakBefore w:val="0"/>
        <w:widowControl/>
        <w:kinsoku/>
        <w:wordWrap/>
        <w:overflowPunct/>
        <w:topLinePunct w:val="0"/>
        <w:autoSpaceDE/>
        <w:autoSpaceDN/>
        <w:bidi w:val="0"/>
        <w:adjustRightInd w:val="0"/>
        <w:snapToGrid w:val="0"/>
        <w:spacing w:line="600" w:lineRule="exact"/>
        <w:ind w:firstLine="640" w:firstLineChars="200"/>
        <w:contextualSpacing/>
        <w:jc w:val="both"/>
        <w:textAlignment w:val="auto"/>
        <w:rPr>
          <w:rFonts w:hint="eastAsia" w:ascii="Times New Roman" w:hAnsi="Times New Roman" w:eastAsia="仿宋_GB2312" w:cs="仿宋_GB2312"/>
          <w:color w:val="000000" w:themeColor="text1"/>
          <w:sz w:val="32"/>
          <w:szCs w:val="32"/>
          <w:lang w:val="zh-CN"/>
          <w14:textFill>
            <w14:solidFill>
              <w14:schemeClr w14:val="tx1"/>
            </w14:solidFill>
          </w14:textFill>
        </w:rPr>
      </w:pPr>
      <w:r>
        <w:rPr>
          <w:rFonts w:hint="eastAsia" w:ascii="Times New Roman" w:hAnsi="Times New Roman" w:eastAsia="仿宋_GB2312" w:cs="仿宋_GB2312"/>
          <w:color w:val="000000" w:themeColor="text1"/>
          <w:sz w:val="32"/>
          <w:szCs w:val="32"/>
          <w:lang w:val="zh-CN"/>
          <w14:textFill>
            <w14:solidFill>
              <w14:schemeClr w14:val="tx1"/>
            </w14:solidFill>
          </w14:textFill>
        </w:rPr>
        <w:t>2025年全年收入共计25,844.28万元，其中财政拨款收入3,641.97万元，非财政拨款收入22,202.31万元。</w:t>
      </w:r>
    </w:p>
    <w:p w14:paraId="4ABEA151">
      <w:pPr>
        <w:keepNext w:val="0"/>
        <w:keepLines w:val="0"/>
        <w:pageBreakBefore w:val="0"/>
        <w:widowControl/>
        <w:kinsoku/>
        <w:wordWrap/>
        <w:overflowPunct/>
        <w:topLinePunct w:val="0"/>
        <w:autoSpaceDE/>
        <w:autoSpaceDN/>
        <w:bidi w:val="0"/>
        <w:adjustRightInd w:val="0"/>
        <w:snapToGrid w:val="0"/>
        <w:spacing w:line="600" w:lineRule="exact"/>
        <w:ind w:firstLine="640" w:firstLineChars="200"/>
        <w:contextualSpacing/>
        <w:jc w:val="both"/>
        <w:textAlignment w:val="auto"/>
        <w:rPr>
          <w:rFonts w:hint="eastAsia" w:ascii="Times New Roman" w:hAnsi="Times New Roman" w:eastAsia="仿宋_GB2312" w:cs="仿宋_GB2312"/>
          <w:color w:val="000000" w:themeColor="text1"/>
          <w:sz w:val="32"/>
          <w:szCs w:val="32"/>
          <w:lang w:val="zh-CN"/>
          <w14:textFill>
            <w14:solidFill>
              <w14:schemeClr w14:val="tx1"/>
            </w14:solidFill>
          </w14:textFill>
        </w:rPr>
      </w:pPr>
      <w:r>
        <w:rPr>
          <w:rFonts w:hint="eastAsia" w:ascii="Times New Roman" w:hAnsi="Times New Roman" w:eastAsia="仿宋_GB2312" w:cs="仿宋_GB2312"/>
          <w:color w:val="000000" w:themeColor="text1"/>
          <w:sz w:val="32"/>
          <w:szCs w:val="32"/>
          <w:lang w:val="zh-CN"/>
          <w14:textFill>
            <w14:solidFill>
              <w14:schemeClr w14:val="tx1"/>
            </w14:solidFill>
          </w14:textFill>
        </w:rPr>
        <w:t>2025年全年总支出总计19,284.19万元，其中财政拨款安排的支出3,641.97万元，非财政拨款安排的支出15,642.22万元。</w:t>
      </w:r>
    </w:p>
    <w:p w14:paraId="13CA4764">
      <w:pPr>
        <w:keepNext w:val="0"/>
        <w:keepLines w:val="0"/>
        <w:pageBreakBefore w:val="0"/>
        <w:widowControl/>
        <w:kinsoku/>
        <w:wordWrap/>
        <w:overflowPunct/>
        <w:topLinePunct w:val="0"/>
        <w:autoSpaceDE/>
        <w:autoSpaceDN/>
        <w:bidi w:val="0"/>
        <w:adjustRightInd w:val="0"/>
        <w:snapToGrid w:val="0"/>
        <w:spacing w:line="600" w:lineRule="exact"/>
        <w:ind w:firstLine="640" w:firstLineChars="200"/>
        <w:contextualSpacing/>
        <w:jc w:val="both"/>
        <w:textAlignment w:val="auto"/>
        <w:rPr>
          <w:rFonts w:hint="eastAsia" w:ascii="Times New Roman" w:hAnsi="Times New Roman" w:eastAsia="仿宋_GB2312" w:cs="仿宋_GB2312"/>
          <w:color w:val="000000" w:themeColor="text1"/>
          <w:kern w:val="0"/>
          <w:szCs w:val="32"/>
          <w:shd w:val="clear" w:color="auto" w:fill="FFFFFF"/>
          <w:lang w:val="zh-CN"/>
          <w14:textFill>
            <w14:solidFill>
              <w14:schemeClr w14:val="tx1"/>
            </w14:solidFill>
          </w14:textFill>
        </w:rPr>
      </w:pPr>
      <w:r>
        <w:rPr>
          <w:rFonts w:hint="eastAsia" w:ascii="Times New Roman" w:hAnsi="Times New Roman" w:eastAsia="仿宋_GB2312" w:cs="仿宋_GB2312"/>
          <w:color w:val="000000" w:themeColor="text1"/>
          <w:sz w:val="32"/>
          <w:szCs w:val="32"/>
          <w:lang w:val="zh-CN"/>
          <w14:textFill>
            <w14:solidFill>
              <w14:schemeClr w14:val="tx1"/>
            </w14:solidFill>
          </w14:textFill>
        </w:rPr>
        <w:t>2025年年末结余资金6,891.03万元，从资金来源方面看，其中财政拨款结余0元，自有资金</w:t>
      </w:r>
      <w:r>
        <w:rPr>
          <w:rFonts w:hint="eastAsia" w:ascii="Times New Roman" w:hAnsi="Times New Roman" w:eastAsia="仿宋_GB2312" w:cs="仿宋_GB2312"/>
          <w:color w:val="000000" w:themeColor="text1"/>
          <w:sz w:val="32"/>
          <w:szCs w:val="32"/>
          <w14:textFill>
            <w14:solidFill>
              <w14:schemeClr w14:val="tx1"/>
            </w14:solidFill>
          </w14:textFill>
        </w:rPr>
        <w:t>1.3万元</w:t>
      </w:r>
      <w:r>
        <w:rPr>
          <w:rFonts w:hint="eastAsia" w:ascii="Times New Roman" w:hAnsi="Times New Roman" w:eastAsia="仿宋_GB2312" w:cs="仿宋_GB2312"/>
          <w:color w:val="000000" w:themeColor="text1"/>
          <w:sz w:val="32"/>
          <w:szCs w:val="32"/>
          <w:lang w:val="zh-CN"/>
          <w14:textFill>
            <w14:solidFill>
              <w14:schemeClr w14:val="tx1"/>
            </w14:solidFill>
          </w14:textFill>
        </w:rPr>
        <w:t>、成昆铁路改造专户结转结余</w:t>
      </w:r>
      <w:r>
        <w:rPr>
          <w:rFonts w:hint="eastAsia" w:ascii="Times New Roman" w:hAnsi="Times New Roman" w:eastAsia="仿宋_GB2312" w:cs="仿宋_GB2312"/>
          <w:color w:val="000000" w:themeColor="text1"/>
          <w:sz w:val="32"/>
          <w:szCs w:val="32"/>
          <w14:textFill>
            <w14:solidFill>
              <w14:schemeClr w14:val="tx1"/>
            </w14:solidFill>
          </w14:textFill>
        </w:rPr>
        <w:t>资金6,889.73</w:t>
      </w:r>
      <w:r>
        <w:rPr>
          <w:rFonts w:hint="eastAsia" w:ascii="Times New Roman" w:hAnsi="Times New Roman" w:eastAsia="仿宋_GB2312" w:cs="仿宋_GB2312"/>
          <w:color w:val="000000" w:themeColor="text1"/>
          <w:sz w:val="32"/>
          <w:szCs w:val="32"/>
          <w:lang w:val="zh-CN"/>
          <w14:textFill>
            <w14:solidFill>
              <w14:schemeClr w14:val="tx1"/>
            </w14:solidFill>
          </w14:textFill>
        </w:rPr>
        <w:t>万元。</w:t>
      </w:r>
    </w:p>
    <w:p w14:paraId="7080A695">
      <w:pPr>
        <w:keepNext w:val="0"/>
        <w:keepLines w:val="0"/>
        <w:pageBreakBefore w:val="0"/>
        <w:widowControl/>
        <w:kinsoku/>
        <w:wordWrap/>
        <w:overflowPunct/>
        <w:topLinePunct w:val="0"/>
        <w:autoSpaceDE/>
        <w:autoSpaceDN/>
        <w:bidi w:val="0"/>
        <w:adjustRightInd w:val="0"/>
        <w:snapToGrid w:val="0"/>
        <w:spacing w:line="600" w:lineRule="exact"/>
        <w:ind w:firstLine="640" w:firstLineChars="200"/>
        <w:contextualSpacing/>
        <w:jc w:val="both"/>
        <w:textAlignment w:val="auto"/>
        <w:rPr>
          <w:rFonts w:hint="eastAsia" w:ascii="黑体" w:hAnsi="黑体" w:eastAsia="黑体" w:cs="黑体"/>
          <w:color w:val="000000" w:themeColor="text1"/>
          <w:kern w:val="0"/>
          <w:sz w:val="32"/>
          <w:szCs w:val="32"/>
          <w:shd w:val="clear" w:color="auto" w:fill="FFFFFF"/>
          <w:lang w:val="zh-CN"/>
          <w14:textFill>
            <w14:solidFill>
              <w14:schemeClr w14:val="tx1"/>
            </w14:solidFill>
          </w14:textFill>
        </w:rPr>
      </w:pPr>
      <w:r>
        <w:rPr>
          <w:rFonts w:hint="eastAsia" w:ascii="黑体" w:hAnsi="黑体" w:eastAsia="黑体" w:cs="黑体"/>
          <w:color w:val="000000" w:themeColor="text1"/>
          <w:kern w:val="0"/>
          <w:sz w:val="32"/>
          <w:szCs w:val="32"/>
          <w:shd w:val="clear" w:color="auto" w:fill="FFFFFF"/>
          <w:lang w:val="zh-CN"/>
          <w14:textFill>
            <w14:solidFill>
              <w14:schemeClr w14:val="tx1"/>
            </w14:solidFill>
          </w14:textFill>
        </w:rPr>
        <w:t>三、部门预算绩效分析</w:t>
      </w:r>
    </w:p>
    <w:p w14:paraId="2DAD6CBA">
      <w:pPr>
        <w:keepNext w:val="0"/>
        <w:keepLines w:val="0"/>
        <w:pageBreakBefore w:val="0"/>
        <w:widowControl/>
        <w:kinsoku/>
        <w:wordWrap/>
        <w:overflowPunct/>
        <w:topLinePunct w:val="0"/>
        <w:autoSpaceDE/>
        <w:autoSpaceDN/>
        <w:bidi w:val="0"/>
        <w:adjustRightInd w:val="0"/>
        <w:snapToGrid w:val="0"/>
        <w:spacing w:line="600" w:lineRule="exact"/>
        <w:ind w:firstLine="643" w:firstLineChars="200"/>
        <w:contextualSpacing/>
        <w:jc w:val="both"/>
        <w:textAlignment w:val="auto"/>
        <w:rPr>
          <w:rFonts w:hint="eastAsia" w:eastAsia="楷体_GB2312" w:cs="楷体_GB2312"/>
          <w:b/>
          <w:color w:val="000000" w:themeColor="text1"/>
          <w:sz w:val="32"/>
          <w:szCs w:val="32"/>
          <w:lang w:val="zh-CN"/>
          <w14:textFill>
            <w14:solidFill>
              <w14:schemeClr w14:val="tx1"/>
            </w14:solidFill>
          </w14:textFill>
        </w:rPr>
      </w:pPr>
      <w:r>
        <w:rPr>
          <w:rFonts w:hint="eastAsia" w:eastAsia="楷体_GB2312" w:cs="楷体_GB2312"/>
          <w:b/>
          <w:color w:val="000000" w:themeColor="text1"/>
          <w:sz w:val="32"/>
          <w:szCs w:val="32"/>
          <w:lang w:val="zh-CN"/>
          <w14:textFill>
            <w14:solidFill>
              <w14:schemeClr w14:val="tx1"/>
            </w14:solidFill>
          </w14:textFill>
        </w:rPr>
        <w:t>（一）部门预算总体绩效分析</w:t>
      </w:r>
    </w:p>
    <w:p w14:paraId="513747D7">
      <w:pPr>
        <w:keepNext w:val="0"/>
        <w:keepLines w:val="0"/>
        <w:pageBreakBefore w:val="0"/>
        <w:kinsoku/>
        <w:wordWrap/>
        <w:overflowPunct/>
        <w:topLinePunct w:val="0"/>
        <w:autoSpaceDE/>
        <w:autoSpaceDN/>
        <w:bidi w:val="0"/>
        <w:snapToGrid w:val="0"/>
        <w:spacing w:line="600" w:lineRule="exact"/>
        <w:ind w:firstLine="640" w:firstLineChars="200"/>
        <w:jc w:val="both"/>
        <w:textAlignment w:val="auto"/>
        <w:rPr>
          <w:rFonts w:hint="eastAsia" w:ascii="Times New Roman" w:hAnsi="Times New Roman" w:eastAsia="仿宋_GB2312" w:cs="仿宋_GB2312"/>
          <w:color w:val="000000" w:themeColor="text1"/>
          <w:sz w:val="32"/>
          <w:szCs w:val="32"/>
          <w14:textFill>
            <w14:solidFill>
              <w14:schemeClr w14:val="tx1"/>
            </w14:solidFill>
          </w14:textFill>
        </w:rPr>
      </w:pPr>
      <w:r>
        <w:rPr>
          <w:rFonts w:hint="eastAsia" w:ascii="Times New Roman" w:hAnsi="Times New Roman" w:eastAsia="仿宋_GB2312" w:cs="仿宋_GB2312"/>
          <w:color w:val="000000" w:themeColor="text1"/>
          <w:kern w:val="0"/>
          <w:sz w:val="32"/>
          <w:szCs w:val="32"/>
          <w:shd w:val="clear" w:color="auto" w:fill="FFFFFF"/>
          <w14:textFill>
            <w14:solidFill>
              <w14:schemeClr w14:val="tx1"/>
            </w14:solidFill>
          </w14:textFill>
        </w:rPr>
        <w:t>1.</w:t>
      </w:r>
      <w:r>
        <w:rPr>
          <w:rFonts w:hint="eastAsia" w:ascii="Times New Roman" w:hAnsi="Times New Roman" w:eastAsia="仿宋_GB2312" w:cs="仿宋_GB2312"/>
          <w:color w:val="000000" w:themeColor="text1"/>
          <w:kern w:val="0"/>
          <w:sz w:val="32"/>
          <w:szCs w:val="32"/>
          <w:shd w:val="clear" w:color="auto" w:fill="FFFFFF"/>
          <w:lang w:val="zh-CN"/>
          <w14:textFill>
            <w14:solidFill>
              <w14:schemeClr w14:val="tx1"/>
            </w14:solidFill>
          </w14:textFill>
        </w:rPr>
        <w:t>履职效能。</w:t>
      </w:r>
      <w:r>
        <w:rPr>
          <w:rFonts w:hint="eastAsia" w:ascii="Times New Roman" w:hAnsi="Times New Roman" w:eastAsia="仿宋_GB2312" w:cs="仿宋_GB2312"/>
          <w:color w:val="000000" w:themeColor="text1"/>
          <w:sz w:val="32"/>
          <w:szCs w:val="32"/>
          <w14:textFill>
            <w14:solidFill>
              <w14:schemeClr w14:val="tx1"/>
            </w14:solidFill>
          </w14:textFill>
        </w:rPr>
        <w:t>2025年我委通过统筹全市宏观经济运行、推进共同富裕试验区建设、高效推进项目投资、促进能源绿色转型发展、推动攀西试验区建设等方面较好的完成了目标任务。根据《2025年部门预算绩效自评打分表》评分标准，市发展改革委2025年部门整体支出绩效自评分数为95.7分。</w:t>
      </w:r>
    </w:p>
    <w:p w14:paraId="6528DB4F">
      <w:pPr>
        <w:keepNext w:val="0"/>
        <w:keepLines w:val="0"/>
        <w:pageBreakBefore w:val="0"/>
        <w:kinsoku/>
        <w:wordWrap/>
        <w:overflowPunct/>
        <w:topLinePunct w:val="0"/>
        <w:autoSpaceDE/>
        <w:autoSpaceDN/>
        <w:bidi w:val="0"/>
        <w:adjustRightInd w:val="0"/>
        <w:snapToGrid w:val="0"/>
        <w:spacing w:line="600" w:lineRule="exact"/>
        <w:ind w:firstLine="640" w:firstLineChars="200"/>
        <w:contextualSpacing/>
        <w:jc w:val="both"/>
        <w:textAlignment w:val="auto"/>
        <w:rPr>
          <w:rFonts w:hint="eastAsia" w:ascii="Times New Roman" w:hAnsi="Times New Roman" w:eastAsia="仿宋_GB2312" w:cs="仿宋_GB2312"/>
          <w:color w:val="000000" w:themeColor="text1"/>
          <w:kern w:val="0"/>
          <w:sz w:val="32"/>
          <w:szCs w:val="32"/>
          <w:shd w:val="clear" w:color="auto" w:fill="FFFFFF"/>
          <w:lang w:val="zh-CN"/>
          <w14:textFill>
            <w14:solidFill>
              <w14:schemeClr w14:val="tx1"/>
            </w14:solidFill>
          </w14:textFill>
        </w:rPr>
      </w:pPr>
      <w:r>
        <w:rPr>
          <w:rFonts w:hint="eastAsia" w:ascii="Times New Roman" w:hAnsi="Times New Roman" w:eastAsia="仿宋_GB2312" w:cs="仿宋_GB2312"/>
          <w:color w:val="000000" w:themeColor="text1"/>
          <w:kern w:val="0"/>
          <w:sz w:val="32"/>
          <w:szCs w:val="32"/>
          <w:shd w:val="clear" w:color="auto" w:fill="FFFFFF"/>
          <w14:textFill>
            <w14:solidFill>
              <w14:schemeClr w14:val="tx1"/>
            </w14:solidFill>
          </w14:textFill>
        </w:rPr>
        <w:t>2.</w:t>
      </w:r>
      <w:r>
        <w:rPr>
          <w:rFonts w:hint="eastAsia" w:ascii="Times New Roman" w:hAnsi="Times New Roman" w:eastAsia="仿宋_GB2312" w:cs="仿宋_GB2312"/>
          <w:color w:val="000000" w:themeColor="text1"/>
          <w:kern w:val="0"/>
          <w:sz w:val="32"/>
          <w:szCs w:val="32"/>
          <w:shd w:val="clear" w:color="auto" w:fill="FFFFFF"/>
          <w:lang w:val="zh-CN"/>
          <w14:textFill>
            <w14:solidFill>
              <w14:schemeClr w14:val="tx1"/>
            </w14:solidFill>
          </w14:textFill>
        </w:rPr>
        <w:t>预算管理。我委严格按照预算编制工作要求，结合本单位人员情况及实际工作需求，科学、合理编制部门预算。坚持“无预算不支出”，厉行节约，压缩公用经费开支，严控“三公”经费。在预算执行中，合理合规使用各项资金，加强预算执行，提高资金使用效率、确保目标实现。预算项目均纳入项目库，进行绩效目标管理，按照项目进度及预算资金安排支付项目资金。</w:t>
      </w:r>
    </w:p>
    <w:p w14:paraId="1CF96F9A">
      <w:pPr>
        <w:keepNext w:val="0"/>
        <w:keepLines w:val="0"/>
        <w:pageBreakBefore w:val="0"/>
        <w:kinsoku/>
        <w:wordWrap/>
        <w:overflowPunct/>
        <w:topLinePunct w:val="0"/>
        <w:autoSpaceDE/>
        <w:autoSpaceDN/>
        <w:bidi w:val="0"/>
        <w:adjustRightInd w:val="0"/>
        <w:snapToGrid w:val="0"/>
        <w:spacing w:line="600" w:lineRule="exact"/>
        <w:ind w:firstLine="640" w:firstLineChars="200"/>
        <w:contextualSpacing/>
        <w:jc w:val="both"/>
        <w:textAlignment w:val="auto"/>
        <w:rPr>
          <w:rFonts w:hint="eastAsia" w:ascii="Times New Roman" w:hAnsi="Times New Roman" w:eastAsia="仿宋_GB2312" w:cs="仿宋_GB2312"/>
          <w:color w:val="000000" w:themeColor="text1"/>
          <w:kern w:val="0"/>
          <w:sz w:val="32"/>
          <w:szCs w:val="32"/>
          <w:highlight w:val="yellow"/>
          <w:shd w:val="clear" w:color="auto" w:fill="FFFFFF"/>
          <w:lang w:val="zh-CN"/>
          <w14:textFill>
            <w14:solidFill>
              <w14:schemeClr w14:val="tx1"/>
            </w14:solidFill>
          </w14:textFill>
        </w:rPr>
      </w:pPr>
      <w:r>
        <w:rPr>
          <w:rFonts w:hint="eastAsia" w:ascii="Times New Roman" w:hAnsi="Times New Roman" w:eastAsia="仿宋_GB2312" w:cs="仿宋_GB2312"/>
          <w:color w:val="000000" w:themeColor="text1"/>
          <w:kern w:val="0"/>
          <w:sz w:val="32"/>
          <w:szCs w:val="32"/>
          <w:shd w:val="clear" w:color="auto" w:fill="FFFFFF"/>
          <w14:textFill>
            <w14:solidFill>
              <w14:schemeClr w14:val="tx1"/>
            </w14:solidFill>
          </w14:textFill>
        </w:rPr>
        <w:t>3.</w:t>
      </w:r>
      <w:r>
        <w:rPr>
          <w:rFonts w:hint="eastAsia" w:ascii="Times New Roman" w:hAnsi="Times New Roman" w:eastAsia="仿宋_GB2312" w:cs="仿宋_GB2312"/>
          <w:color w:val="000000" w:themeColor="text1"/>
          <w:kern w:val="0"/>
          <w:sz w:val="32"/>
          <w:szCs w:val="32"/>
          <w:shd w:val="clear" w:color="auto" w:fill="FFFFFF"/>
          <w:lang w:val="zh-CN"/>
          <w14:textFill>
            <w14:solidFill>
              <w14:schemeClr w14:val="tx1"/>
            </w14:solidFill>
          </w14:textFill>
        </w:rPr>
        <w:t>财务管理。机关财务岗位设置符合不相容岗位相互分离的要求，分别设置出纳、会计、财务</w:t>
      </w:r>
      <w:r>
        <w:rPr>
          <w:rFonts w:hint="eastAsia" w:ascii="Times New Roman" w:hAnsi="Times New Roman" w:eastAsia="仿宋_GB2312" w:cs="仿宋_GB2312"/>
          <w:color w:val="000000" w:themeColor="text1"/>
          <w:kern w:val="0"/>
          <w:sz w:val="32"/>
          <w:szCs w:val="32"/>
          <w:shd w:val="clear" w:color="auto" w:fill="FFFFFF"/>
          <w14:textFill>
            <w14:solidFill>
              <w14:schemeClr w14:val="tx1"/>
            </w14:solidFill>
          </w14:textFill>
        </w:rPr>
        <w:t>负责人</w:t>
      </w:r>
      <w:r>
        <w:rPr>
          <w:rFonts w:hint="eastAsia" w:ascii="Times New Roman" w:hAnsi="Times New Roman" w:eastAsia="仿宋_GB2312" w:cs="仿宋_GB2312"/>
          <w:color w:val="000000" w:themeColor="text1"/>
          <w:kern w:val="0"/>
          <w:sz w:val="32"/>
          <w:szCs w:val="32"/>
          <w:shd w:val="clear" w:color="auto" w:fill="FFFFFF"/>
          <w:lang w:val="zh-CN"/>
          <w14:textFill>
            <w14:solidFill>
              <w14:schemeClr w14:val="tx1"/>
            </w14:solidFill>
          </w14:textFill>
        </w:rPr>
        <w:t>三岗对</w:t>
      </w:r>
      <w:r>
        <w:rPr>
          <w:rFonts w:hint="eastAsia" w:ascii="Times New Roman" w:hAnsi="Times New Roman" w:eastAsia="仿宋_GB2312" w:cs="仿宋_GB2312"/>
          <w:color w:val="000000" w:themeColor="text1"/>
          <w:kern w:val="0"/>
          <w:sz w:val="32"/>
          <w:szCs w:val="32"/>
          <w:shd w:val="clear" w:color="auto" w:fill="FFFFFF"/>
          <w14:textFill>
            <w14:solidFill>
              <w14:schemeClr w14:val="tx1"/>
            </w14:solidFill>
          </w14:textFill>
        </w:rPr>
        <w:t>单位</w:t>
      </w:r>
      <w:r>
        <w:rPr>
          <w:rFonts w:hint="eastAsia" w:ascii="Times New Roman" w:hAnsi="Times New Roman" w:eastAsia="仿宋_GB2312" w:cs="仿宋_GB2312"/>
          <w:color w:val="000000" w:themeColor="text1"/>
          <w:kern w:val="0"/>
          <w:sz w:val="32"/>
          <w:szCs w:val="32"/>
          <w:shd w:val="clear" w:color="auto" w:fill="FFFFFF"/>
          <w:lang w:val="zh-CN"/>
          <w14:textFill>
            <w14:solidFill>
              <w14:schemeClr w14:val="tx1"/>
            </w14:solidFill>
          </w14:textFill>
        </w:rPr>
        <w:t>经费收支进行管理。在财务工作过程中，严格按照《中华人民共和国会计法》《政府会计制度》等相关法律法规要求，依法设置会计账簿，并保证其真实完整，根据本单位实际发生的业务事项进行会计核算、填制会计凭证、登记会计账簿、编制财务会计报告。严格执行各类财经纪律，加强经费合法合规性审核和预算控制，严格按制度政策办事，资金使用合法合规，支出手续齐全，程序到位。配合纪委监委、审计及驻委纪检</w:t>
      </w:r>
      <w:r>
        <w:rPr>
          <w:rFonts w:hint="eastAsia" w:ascii="Times New Roman" w:hAnsi="Times New Roman" w:eastAsia="仿宋_GB2312" w:cs="仿宋_GB2312"/>
          <w:color w:val="000000" w:themeColor="text1"/>
          <w:kern w:val="0"/>
          <w:sz w:val="32"/>
          <w:szCs w:val="32"/>
          <w:shd w:val="clear" w:color="auto" w:fill="FFFFFF"/>
          <w14:textFill>
            <w14:solidFill>
              <w14:schemeClr w14:val="tx1"/>
            </w14:solidFill>
          </w14:textFill>
        </w:rPr>
        <w:t>监察</w:t>
      </w:r>
      <w:r>
        <w:rPr>
          <w:rFonts w:hint="eastAsia" w:ascii="Times New Roman" w:hAnsi="Times New Roman" w:eastAsia="仿宋_GB2312" w:cs="仿宋_GB2312"/>
          <w:color w:val="000000" w:themeColor="text1"/>
          <w:kern w:val="0"/>
          <w:sz w:val="32"/>
          <w:szCs w:val="32"/>
          <w:shd w:val="clear" w:color="auto" w:fill="FFFFFF"/>
          <w:lang w:val="zh-CN"/>
          <w14:textFill>
            <w14:solidFill>
              <w14:schemeClr w14:val="tx1"/>
            </w14:solidFill>
          </w14:textFill>
        </w:rPr>
        <w:t>组开展系列巡察、审计、专项检查及自查工作，严格落实各项财经纪律规定和有关公务支出标准，及时整理制作和报送资料，对审计、检查提出的问题认真整改，落实到位。全年认真贯彻落实中央八项规定和省市十项规定，严格执行厉行节约、反对浪费的有关规定，规范和优化经费使用，严格控制各项费用支出。</w:t>
      </w:r>
    </w:p>
    <w:p w14:paraId="625D1621">
      <w:pPr>
        <w:keepNext w:val="0"/>
        <w:keepLines w:val="0"/>
        <w:pageBreakBefore w:val="0"/>
        <w:widowControl/>
        <w:kinsoku/>
        <w:wordWrap/>
        <w:overflowPunct/>
        <w:topLinePunct w:val="0"/>
        <w:autoSpaceDE/>
        <w:autoSpaceDN/>
        <w:bidi w:val="0"/>
        <w:spacing w:line="600" w:lineRule="exact"/>
        <w:ind w:firstLine="640" w:firstLineChars="200"/>
        <w:jc w:val="both"/>
        <w:textAlignment w:val="auto"/>
        <w:rPr>
          <w:rFonts w:hint="eastAsia" w:ascii="Times New Roman" w:hAnsi="Times New Roman" w:eastAsia="仿宋_GB2312" w:cs="仿宋_GB2312"/>
          <w:color w:val="000000" w:themeColor="text1"/>
          <w:kern w:val="0"/>
          <w:sz w:val="32"/>
          <w:szCs w:val="32"/>
          <w:highlight w:val="yellow"/>
          <w:shd w:val="clear" w:color="auto" w:fill="FFFFFF"/>
          <w:lang w:val="zh-CN"/>
          <w14:textFill>
            <w14:solidFill>
              <w14:schemeClr w14:val="tx1"/>
            </w14:solidFill>
          </w14:textFill>
        </w:rPr>
      </w:pPr>
      <w:r>
        <w:rPr>
          <w:rFonts w:hint="eastAsia" w:ascii="Times New Roman" w:hAnsi="Times New Roman" w:eastAsia="仿宋_GB2312" w:cs="仿宋_GB2312"/>
          <w:color w:val="000000" w:themeColor="text1"/>
          <w:kern w:val="0"/>
          <w:sz w:val="32"/>
          <w:szCs w:val="32"/>
          <w:shd w:val="clear" w:color="auto" w:fill="FFFFFF"/>
          <w14:textFill>
            <w14:solidFill>
              <w14:schemeClr w14:val="tx1"/>
            </w14:solidFill>
          </w14:textFill>
        </w:rPr>
        <w:t>4.</w:t>
      </w:r>
      <w:r>
        <w:rPr>
          <w:rFonts w:hint="eastAsia" w:ascii="Times New Roman" w:hAnsi="Times New Roman" w:eastAsia="仿宋_GB2312" w:cs="仿宋_GB2312"/>
          <w:color w:val="000000" w:themeColor="text1"/>
          <w:kern w:val="0"/>
          <w:sz w:val="32"/>
          <w:szCs w:val="32"/>
          <w:shd w:val="clear" w:color="auto" w:fill="FFFFFF"/>
          <w:lang w:val="zh-CN"/>
          <w14:textFill>
            <w14:solidFill>
              <w14:schemeClr w14:val="tx1"/>
            </w14:solidFill>
          </w14:textFill>
        </w:rPr>
        <w:t>资产管理。</w:t>
      </w:r>
      <w:r>
        <w:rPr>
          <w:rFonts w:hint="eastAsia" w:ascii="Times New Roman" w:hAnsi="Times New Roman" w:eastAsia="仿宋_GB2312" w:cs="仿宋_GB2312"/>
          <w:color w:val="000000" w:themeColor="text1"/>
          <w:sz w:val="32"/>
          <w:szCs w:val="32"/>
          <w:lang w:val="zh-CN"/>
          <w14:textFill>
            <w14:solidFill>
              <w14:schemeClr w14:val="tx1"/>
            </w14:solidFill>
          </w14:textFill>
        </w:rPr>
        <w:t>资产管理规范，制度健全，分工明确，执行有效。资产配置、使用和处置严格执行各项资产管理制度规定。合理配备、使用资产，做到物尽其用，提高资产使用率，保障资产的安全和完整。对新购入的固定资产及时入账，编制固定资产卡片，确保账面上能真实、完整地反映单位的固定资产情况。</w:t>
      </w:r>
      <w:r>
        <w:rPr>
          <w:rFonts w:hint="eastAsia" w:ascii="Times New Roman" w:hAnsi="Times New Roman" w:eastAsia="仿宋_GB2312" w:cs="仿宋_GB2312"/>
          <w:color w:val="000000" w:themeColor="text1"/>
          <w:sz w:val="32"/>
          <w:szCs w:val="32"/>
          <w14:textFill>
            <w14:solidFill>
              <w14:schemeClr w14:val="tx1"/>
            </w14:solidFill>
          </w14:textFill>
        </w:rPr>
        <w:t>还</w:t>
      </w:r>
      <w:r>
        <w:rPr>
          <w:rFonts w:hint="eastAsia" w:ascii="Times New Roman" w:hAnsi="Times New Roman" w:eastAsia="仿宋_GB2312" w:cs="仿宋_GB2312"/>
          <w:color w:val="000000" w:themeColor="text1"/>
          <w:sz w:val="32"/>
          <w:szCs w:val="32"/>
          <w:lang w:val="zh-CN"/>
          <w14:textFill>
            <w14:solidFill>
              <w14:schemeClr w14:val="tx1"/>
            </w14:solidFill>
          </w14:textFill>
        </w:rPr>
        <w:t>通过对资产进行维修、整合、调剂等方式，加强了资产的二次利用。</w:t>
      </w:r>
      <w:r>
        <w:rPr>
          <w:rFonts w:hint="eastAsia" w:ascii="Times New Roman" w:hAnsi="Times New Roman" w:eastAsia="仿宋_GB2312" w:cs="仿宋_GB2312"/>
          <w:color w:val="000000" w:themeColor="text1"/>
          <w:sz w:val="32"/>
          <w:szCs w:val="32"/>
          <w14:textFill>
            <w14:solidFill>
              <w14:schemeClr w14:val="tx1"/>
            </w14:solidFill>
          </w14:textFill>
        </w:rPr>
        <w:t>2025</w:t>
      </w:r>
      <w:r>
        <w:rPr>
          <w:rFonts w:hint="eastAsia" w:ascii="Times New Roman" w:hAnsi="Times New Roman" w:eastAsia="仿宋_GB2312" w:cs="仿宋_GB2312"/>
          <w:color w:val="000000" w:themeColor="text1"/>
          <w:sz w:val="32"/>
          <w:szCs w:val="32"/>
          <w:lang w:val="zh-CN"/>
          <w14:textFill>
            <w14:solidFill>
              <w14:schemeClr w14:val="tx1"/>
            </w14:solidFill>
          </w14:textFill>
        </w:rPr>
        <w:t>年，我委人均资产变化率未发生较大的变动，资产利用率较高。</w:t>
      </w:r>
    </w:p>
    <w:p w14:paraId="2E6443DF">
      <w:pPr>
        <w:keepNext w:val="0"/>
        <w:keepLines w:val="0"/>
        <w:pageBreakBefore w:val="0"/>
        <w:kinsoku/>
        <w:wordWrap/>
        <w:overflowPunct/>
        <w:topLinePunct w:val="0"/>
        <w:autoSpaceDE/>
        <w:autoSpaceDN/>
        <w:bidi w:val="0"/>
        <w:adjustRightInd w:val="0"/>
        <w:snapToGrid w:val="0"/>
        <w:spacing w:line="600" w:lineRule="exact"/>
        <w:ind w:firstLine="640" w:firstLineChars="200"/>
        <w:jc w:val="both"/>
        <w:textAlignment w:val="auto"/>
        <w:rPr>
          <w:rFonts w:hint="eastAsia" w:ascii="Times New Roman" w:hAnsi="Times New Roman" w:eastAsia="仿宋_GB2312" w:cs="仿宋_GB2312"/>
          <w:color w:val="000000" w:themeColor="text1"/>
          <w:lang w:val="zh-CN"/>
          <w14:textFill>
            <w14:solidFill>
              <w14:schemeClr w14:val="tx1"/>
            </w14:solidFill>
          </w14:textFill>
        </w:rPr>
      </w:pPr>
      <w:r>
        <w:rPr>
          <w:rFonts w:hint="eastAsia" w:ascii="Times New Roman" w:hAnsi="Times New Roman" w:eastAsia="仿宋_GB2312" w:cs="仿宋_GB2312"/>
          <w:color w:val="000000" w:themeColor="text1"/>
          <w:kern w:val="0"/>
          <w:sz w:val="32"/>
          <w:szCs w:val="32"/>
          <w:shd w:val="clear" w:color="auto" w:fill="FFFFFF"/>
          <w14:textFill>
            <w14:solidFill>
              <w14:schemeClr w14:val="tx1"/>
            </w14:solidFill>
          </w14:textFill>
        </w:rPr>
        <w:t>5.</w:t>
      </w:r>
      <w:r>
        <w:rPr>
          <w:rFonts w:hint="eastAsia" w:ascii="Times New Roman" w:hAnsi="Times New Roman" w:eastAsia="仿宋_GB2312" w:cs="仿宋_GB2312"/>
          <w:color w:val="000000" w:themeColor="text1"/>
          <w:kern w:val="0"/>
          <w:sz w:val="32"/>
          <w:szCs w:val="32"/>
          <w:shd w:val="clear" w:color="auto" w:fill="FFFFFF"/>
          <w:lang w:val="zh-CN"/>
          <w14:textFill>
            <w14:solidFill>
              <w14:schemeClr w14:val="tx1"/>
            </w14:solidFill>
          </w14:textFill>
        </w:rPr>
        <w:t>采购管理。</w:t>
      </w:r>
      <w:r>
        <w:rPr>
          <w:rFonts w:hint="eastAsia" w:ascii="Times New Roman" w:hAnsi="Times New Roman" w:eastAsia="仿宋_GB2312" w:cs="仿宋_GB2312"/>
          <w:color w:val="000000" w:themeColor="text1"/>
          <w:sz w:val="32"/>
          <w:szCs w:val="32"/>
          <w:lang w:val="zh-CN"/>
          <w14:textFill>
            <w14:solidFill>
              <w14:schemeClr w14:val="tx1"/>
            </w14:solidFill>
          </w14:textFill>
        </w:rPr>
        <w:t>严格遵守政府采购相关规定，严格执行采购程序，在采购执行过程中，响应国家政策，积极支持中小企业发展，</w:t>
      </w:r>
      <w:r>
        <w:rPr>
          <w:rFonts w:hint="eastAsia" w:ascii="Times New Roman" w:hAnsi="Times New Roman" w:eastAsia="仿宋_GB2312" w:cs="仿宋_GB2312"/>
          <w:color w:val="000000" w:themeColor="text1"/>
          <w:sz w:val="32"/>
          <w:szCs w:val="32"/>
          <w14:textFill>
            <w14:solidFill>
              <w14:schemeClr w14:val="tx1"/>
            </w14:solidFill>
          </w14:textFill>
        </w:rPr>
        <w:t>2025</w:t>
      </w:r>
      <w:r>
        <w:rPr>
          <w:rFonts w:hint="eastAsia" w:ascii="Times New Roman" w:hAnsi="Times New Roman" w:eastAsia="仿宋_GB2312" w:cs="仿宋_GB2312"/>
          <w:color w:val="000000" w:themeColor="text1"/>
          <w:sz w:val="32"/>
          <w:szCs w:val="32"/>
          <w:lang w:val="zh-CN"/>
          <w14:textFill>
            <w14:solidFill>
              <w14:schemeClr w14:val="tx1"/>
            </w14:solidFill>
          </w14:textFill>
        </w:rPr>
        <w:t>年度，市发展改革委政府采购支出总额</w:t>
      </w:r>
      <w:r>
        <w:rPr>
          <w:rFonts w:hint="eastAsia" w:ascii="Times New Roman" w:hAnsi="Times New Roman" w:eastAsia="仿宋_GB2312" w:cs="仿宋_GB2312"/>
          <w:color w:val="000000" w:themeColor="text1"/>
          <w:sz w:val="32"/>
          <w:szCs w:val="32"/>
          <w14:textFill>
            <w14:solidFill>
              <w14:schemeClr w14:val="tx1"/>
            </w14:solidFill>
          </w14:textFill>
        </w:rPr>
        <w:t>392.68</w:t>
      </w:r>
      <w:r>
        <w:rPr>
          <w:rFonts w:hint="eastAsia" w:ascii="Times New Roman" w:hAnsi="Times New Roman" w:eastAsia="仿宋_GB2312" w:cs="仿宋_GB2312"/>
          <w:color w:val="000000" w:themeColor="text1"/>
          <w:sz w:val="32"/>
          <w:szCs w:val="32"/>
          <w:lang w:val="zh-CN"/>
          <w14:textFill>
            <w14:solidFill>
              <w14:schemeClr w14:val="tx1"/>
            </w14:solidFill>
          </w14:textFill>
        </w:rPr>
        <w:t>万元，主要用于公务车运行维护、</w:t>
      </w:r>
      <w:r>
        <w:rPr>
          <w:rFonts w:hint="eastAsia" w:ascii="Times New Roman" w:hAnsi="Times New Roman" w:eastAsia="仿宋_GB2312" w:cs="仿宋_GB2312"/>
          <w:color w:val="000000" w:themeColor="text1"/>
          <w:sz w:val="32"/>
          <w:szCs w:val="32"/>
          <w14:textFill>
            <w14:solidFill>
              <w14:schemeClr w14:val="tx1"/>
            </w14:solidFill>
          </w14:textFill>
        </w:rPr>
        <w:t>规划及重大前期经费、</w:t>
      </w:r>
      <w:r>
        <w:rPr>
          <w:rFonts w:hint="eastAsia" w:ascii="Times New Roman" w:hAnsi="Times New Roman" w:eastAsia="仿宋_GB2312" w:cs="仿宋_GB2312"/>
          <w:color w:val="000000" w:themeColor="text1"/>
          <w:sz w:val="32"/>
          <w:szCs w:val="32"/>
          <w:lang w:val="zh-CN"/>
          <w14:textFill>
            <w14:solidFill>
              <w14:schemeClr w14:val="tx1"/>
            </w14:solidFill>
          </w14:textFill>
        </w:rPr>
        <w:t>信息系统维护及粮食质量检验监测中心实验室改造，项目均通过政府采购方式，选择第三方服务机构开展相关工作。项目任务完成、达到质量标准，资金拨付完毕，成本控制目标已实现，支付依据合法合规，资金支付与预算相符。</w:t>
      </w:r>
    </w:p>
    <w:p w14:paraId="728634D5">
      <w:pPr>
        <w:keepNext w:val="0"/>
        <w:keepLines w:val="0"/>
        <w:pageBreakBefore w:val="0"/>
        <w:widowControl/>
        <w:kinsoku/>
        <w:wordWrap/>
        <w:overflowPunct/>
        <w:topLinePunct w:val="0"/>
        <w:autoSpaceDE/>
        <w:autoSpaceDN/>
        <w:bidi w:val="0"/>
        <w:adjustRightInd w:val="0"/>
        <w:snapToGrid w:val="0"/>
        <w:spacing w:line="600" w:lineRule="exact"/>
        <w:ind w:firstLine="643" w:firstLineChars="200"/>
        <w:contextualSpacing/>
        <w:jc w:val="both"/>
        <w:textAlignment w:val="auto"/>
        <w:rPr>
          <w:rFonts w:hint="eastAsia" w:eastAsia="楷体_GB2312" w:cs="楷体_GB2312"/>
          <w:b/>
          <w:color w:val="000000" w:themeColor="text1"/>
          <w:sz w:val="32"/>
          <w:szCs w:val="32"/>
          <w:lang w:val="zh-CN"/>
          <w14:textFill>
            <w14:solidFill>
              <w14:schemeClr w14:val="tx1"/>
            </w14:solidFill>
          </w14:textFill>
        </w:rPr>
      </w:pPr>
      <w:r>
        <w:rPr>
          <w:rFonts w:hint="eastAsia" w:eastAsia="楷体_GB2312" w:cs="楷体_GB2312"/>
          <w:b/>
          <w:color w:val="000000" w:themeColor="text1"/>
          <w:sz w:val="32"/>
          <w:szCs w:val="32"/>
          <w:lang w:val="zh-CN"/>
          <w14:textFill>
            <w14:solidFill>
              <w14:schemeClr w14:val="tx1"/>
            </w14:solidFill>
          </w14:textFill>
        </w:rPr>
        <w:t>（二）部门预算项目绩效分析</w:t>
      </w:r>
    </w:p>
    <w:p w14:paraId="36A58CCB">
      <w:pPr>
        <w:keepNext w:val="0"/>
        <w:keepLines w:val="0"/>
        <w:pageBreakBefore w:val="0"/>
        <w:widowControl/>
        <w:kinsoku/>
        <w:wordWrap/>
        <w:overflowPunct/>
        <w:topLinePunct w:val="0"/>
        <w:autoSpaceDE/>
        <w:autoSpaceDN/>
        <w:bidi w:val="0"/>
        <w:adjustRightInd w:val="0"/>
        <w:snapToGrid w:val="0"/>
        <w:spacing w:line="600" w:lineRule="exact"/>
        <w:ind w:firstLine="640" w:firstLineChars="200"/>
        <w:contextualSpacing/>
        <w:jc w:val="both"/>
        <w:textAlignment w:val="auto"/>
        <w:rPr>
          <w:rFonts w:hint="eastAsia" w:ascii="Times New Roman" w:hAnsi="Times New Roman" w:eastAsia="仿宋_GB2312" w:cs="仿宋_GB2312"/>
          <w:color w:val="000000" w:themeColor="text1"/>
          <w:sz w:val="32"/>
          <w:szCs w:val="32"/>
          <w14:textFill>
            <w14:solidFill>
              <w14:schemeClr w14:val="tx1"/>
            </w14:solidFill>
          </w14:textFill>
        </w:rPr>
      </w:pPr>
      <w:r>
        <w:rPr>
          <w:rFonts w:hint="eastAsia" w:ascii="Times New Roman" w:hAnsi="Times New Roman" w:eastAsia="仿宋_GB2312" w:cs="仿宋_GB2312"/>
          <w:color w:val="000000" w:themeColor="text1"/>
          <w:kern w:val="0"/>
          <w:sz w:val="32"/>
          <w:szCs w:val="32"/>
          <w:shd w:val="clear" w:color="auto" w:fill="FFFFFF"/>
          <w14:textFill>
            <w14:solidFill>
              <w14:schemeClr w14:val="tx1"/>
            </w14:solidFill>
          </w14:textFill>
        </w:rPr>
        <w:t>1.人员类项目涉及预算总金额2</w:t>
      </w:r>
      <w:r>
        <w:rPr>
          <w:rFonts w:hint="eastAsia" w:eastAsia="仿宋_GB2312" w:cs="仿宋_GB2312"/>
          <w:color w:val="000000" w:themeColor="text1"/>
          <w:kern w:val="0"/>
          <w:sz w:val="32"/>
          <w:szCs w:val="32"/>
          <w:shd w:val="clear" w:color="auto" w:fill="FFFFFF"/>
          <w:lang w:val="en-US" w:eastAsia="zh-CN"/>
          <w14:textFill>
            <w14:solidFill>
              <w14:schemeClr w14:val="tx1"/>
            </w14:solidFill>
          </w14:textFill>
        </w:rPr>
        <w:t>,</w:t>
      </w:r>
      <w:r>
        <w:rPr>
          <w:rFonts w:hint="eastAsia" w:ascii="Times New Roman" w:hAnsi="Times New Roman" w:eastAsia="仿宋_GB2312" w:cs="仿宋_GB2312"/>
          <w:color w:val="000000" w:themeColor="text1"/>
          <w:kern w:val="0"/>
          <w:sz w:val="32"/>
          <w:szCs w:val="32"/>
          <w:shd w:val="clear" w:color="auto" w:fill="FFFFFF"/>
          <w14:textFill>
            <w14:solidFill>
              <w14:schemeClr w14:val="tx1"/>
            </w14:solidFill>
          </w14:textFill>
        </w:rPr>
        <w:t>663.48万元，1—12月预算执行总体进度为100%。</w:t>
      </w:r>
      <w:r>
        <w:rPr>
          <w:rFonts w:hint="eastAsia" w:ascii="Times New Roman" w:hAnsi="Times New Roman" w:eastAsia="仿宋_GB2312" w:cs="仿宋_GB2312"/>
          <w:color w:val="000000" w:themeColor="text1"/>
          <w:sz w:val="32"/>
          <w:szCs w:val="32"/>
          <w14:textFill>
            <w14:solidFill>
              <w14:schemeClr w14:val="tx1"/>
            </w14:solidFill>
          </w14:textFill>
        </w:rPr>
        <w:t>产出指标执行进度和预算完成情况：人员类财政拨款支出主要用于保障本单位机构正常运转的人员经费支出，包括基本工资、津贴补贴、养老保险、医保等人员经费。效益指标完成情况分析：所有开支均按照财务管理制度执行，对资金的使用严格把关，机关的日常工作运行得到保障。满意度指标完成情况分析：2025年本部门较好地完成了人员经费绩效目标任务，预算执行率达到100%，无违规发放资金情况，获得部门职工一致好评。</w:t>
      </w:r>
    </w:p>
    <w:p w14:paraId="6CB22700">
      <w:pPr>
        <w:keepNext w:val="0"/>
        <w:keepLines w:val="0"/>
        <w:pageBreakBefore w:val="0"/>
        <w:widowControl/>
        <w:kinsoku/>
        <w:wordWrap/>
        <w:overflowPunct/>
        <w:topLinePunct w:val="0"/>
        <w:autoSpaceDE/>
        <w:autoSpaceDN/>
        <w:bidi w:val="0"/>
        <w:adjustRightInd w:val="0"/>
        <w:snapToGrid w:val="0"/>
        <w:spacing w:line="600" w:lineRule="exact"/>
        <w:ind w:firstLine="640" w:firstLineChars="200"/>
        <w:contextualSpacing/>
        <w:jc w:val="both"/>
        <w:textAlignment w:val="auto"/>
        <w:rPr>
          <w:rFonts w:hint="eastAsia" w:ascii="Times New Roman" w:hAnsi="Times New Roman" w:eastAsia="仿宋_GB2312" w:cs="仿宋_GB2312"/>
          <w:color w:val="000000" w:themeColor="text1"/>
          <w:kern w:val="0"/>
          <w:sz w:val="32"/>
          <w:szCs w:val="32"/>
          <w:shd w:val="clear" w:color="auto" w:fill="FFFFFF"/>
          <w14:textFill>
            <w14:solidFill>
              <w14:schemeClr w14:val="tx1"/>
            </w14:solidFill>
          </w14:textFill>
        </w:rPr>
      </w:pPr>
      <w:r>
        <w:rPr>
          <w:rFonts w:hint="eastAsia" w:ascii="Times New Roman" w:hAnsi="Times New Roman" w:eastAsia="仿宋_GB2312" w:cs="仿宋_GB2312"/>
          <w:color w:val="000000" w:themeColor="text1"/>
          <w:sz w:val="32"/>
          <w:szCs w:val="32"/>
          <w14:textFill>
            <w14:solidFill>
              <w14:schemeClr w14:val="tx1"/>
            </w14:solidFill>
          </w14:textFill>
        </w:rPr>
        <w:t>2.运转类项目涉及预算总金额276.4万元，1—12月预算执行总体进度为100%。产出指标执行进度和预算完成情况：运转类财政拨款支出主要用于保障机构正常运转的日常支出，包括办公费、培训费、水电费、差旅费、邮电费、物业管理费等日常公用经费。效益指标完成情况分析：2025年日常管理工作所有开支均按照我委相关财务管理制度和内控制度执行，对资金的使用严格把关，建立了工作有计划、实施有方案、日常有监督的管理机制。满意度指标完成情况分析：机关的日常工作运行得到有效保障，取得了较好的成效，获得了社会公众的一致好评。</w:t>
      </w:r>
    </w:p>
    <w:p w14:paraId="0FCE0B3C">
      <w:pPr>
        <w:keepNext w:val="0"/>
        <w:keepLines w:val="0"/>
        <w:pageBreakBefore w:val="0"/>
        <w:tabs>
          <w:tab w:val="left" w:pos="312"/>
        </w:tabs>
        <w:kinsoku/>
        <w:wordWrap/>
        <w:overflowPunct/>
        <w:topLinePunct w:val="0"/>
        <w:autoSpaceDE/>
        <w:autoSpaceDN/>
        <w:bidi w:val="0"/>
        <w:adjustRightInd w:val="0"/>
        <w:snapToGrid w:val="0"/>
        <w:spacing w:line="600" w:lineRule="exact"/>
        <w:ind w:firstLine="640" w:firstLineChars="200"/>
        <w:contextualSpacing/>
        <w:jc w:val="both"/>
        <w:textAlignment w:val="auto"/>
        <w:rPr>
          <w:rFonts w:hint="eastAsia" w:ascii="Times New Roman" w:hAnsi="Times New Roman" w:eastAsia="仿宋_GB2312" w:cs="仿宋_GB2312"/>
          <w:color w:val="000000" w:themeColor="text1"/>
          <w:kern w:val="0"/>
          <w:sz w:val="32"/>
          <w:szCs w:val="32"/>
          <w:shd w:val="clear" w:color="auto" w:fill="FFFFFF"/>
          <w14:textFill>
            <w14:solidFill>
              <w14:schemeClr w14:val="tx1"/>
            </w14:solidFill>
          </w14:textFill>
        </w:rPr>
      </w:pPr>
      <w:r>
        <w:rPr>
          <w:rFonts w:hint="eastAsia" w:ascii="Times New Roman" w:hAnsi="Times New Roman" w:eastAsia="仿宋_GB2312" w:cs="仿宋_GB2312"/>
          <w:color w:val="000000" w:themeColor="text1"/>
          <w:kern w:val="0"/>
          <w:sz w:val="32"/>
          <w:szCs w:val="32"/>
          <w:shd w:val="clear" w:color="auto" w:fill="FFFFFF"/>
          <w14:textFill>
            <w14:solidFill>
              <w14:schemeClr w14:val="tx1"/>
            </w14:solidFill>
          </w14:textFill>
        </w:rPr>
        <w:t>3.阶段（含一次性）项目绩效分析。详见部门预算项目支出绩效自评表（2025年度）。</w:t>
      </w:r>
    </w:p>
    <w:p w14:paraId="24A0A663">
      <w:pPr>
        <w:keepNext w:val="0"/>
        <w:keepLines w:val="0"/>
        <w:pageBreakBefore w:val="0"/>
        <w:kinsoku/>
        <w:wordWrap/>
        <w:overflowPunct/>
        <w:topLinePunct w:val="0"/>
        <w:autoSpaceDE/>
        <w:autoSpaceDN/>
        <w:bidi w:val="0"/>
        <w:adjustRightInd w:val="0"/>
        <w:snapToGrid w:val="0"/>
        <w:spacing w:line="600" w:lineRule="exact"/>
        <w:ind w:firstLine="640" w:firstLineChars="200"/>
        <w:contextualSpacing/>
        <w:jc w:val="both"/>
        <w:textAlignment w:val="auto"/>
        <w:rPr>
          <w:rFonts w:hint="eastAsia" w:ascii="Times New Roman" w:hAnsi="Times New Roman" w:eastAsia="仿宋_GB2312" w:cs="仿宋_GB2312"/>
          <w:color w:val="000000" w:themeColor="text1"/>
          <w:kern w:val="0"/>
          <w:sz w:val="32"/>
          <w:szCs w:val="32"/>
          <w:shd w:val="clear" w:color="auto" w:fill="FFFFFF"/>
          <w:lang w:val="zh-CN"/>
          <w14:textFill>
            <w14:solidFill>
              <w14:schemeClr w14:val="tx1"/>
            </w14:solidFill>
          </w14:textFill>
        </w:rPr>
      </w:pPr>
      <w:r>
        <w:rPr>
          <w:rFonts w:hint="eastAsia" w:ascii="Times New Roman" w:hAnsi="Times New Roman" w:eastAsia="仿宋_GB2312" w:cs="仿宋_GB2312"/>
          <w:color w:val="000000" w:themeColor="text1"/>
          <w:kern w:val="0"/>
          <w:sz w:val="32"/>
          <w:szCs w:val="32"/>
          <w:shd w:val="clear" w:color="auto" w:fill="FFFFFF"/>
          <w:lang w:val="zh-CN"/>
          <w14:textFill>
            <w14:solidFill>
              <w14:schemeClr w14:val="tx1"/>
            </w14:solidFill>
          </w14:textFill>
        </w:rPr>
        <w:t>该类项目总数</w:t>
      </w:r>
      <w:r>
        <w:rPr>
          <w:rFonts w:hint="eastAsia" w:ascii="Times New Roman" w:hAnsi="Times New Roman" w:eastAsia="仿宋_GB2312" w:cs="仿宋_GB2312"/>
          <w:color w:val="000000" w:themeColor="text1"/>
          <w:kern w:val="0"/>
          <w:sz w:val="32"/>
          <w:szCs w:val="32"/>
          <w:shd w:val="clear" w:color="auto" w:fill="FFFFFF"/>
          <w14:textFill>
            <w14:solidFill>
              <w14:schemeClr w14:val="tx1"/>
            </w14:solidFill>
          </w14:textFill>
        </w:rPr>
        <w:t>23</w:t>
      </w:r>
      <w:r>
        <w:rPr>
          <w:rFonts w:hint="eastAsia" w:ascii="Times New Roman" w:hAnsi="Times New Roman" w:eastAsia="仿宋_GB2312" w:cs="仿宋_GB2312"/>
          <w:color w:val="000000" w:themeColor="text1"/>
          <w:kern w:val="0"/>
          <w:sz w:val="32"/>
          <w:szCs w:val="32"/>
          <w:shd w:val="clear" w:color="auto" w:fill="FFFFFF"/>
          <w:lang w:val="zh-CN"/>
          <w14:textFill>
            <w14:solidFill>
              <w14:schemeClr w14:val="tx1"/>
            </w14:solidFill>
          </w14:textFill>
        </w:rPr>
        <w:t>个，涉及预算总金额</w:t>
      </w:r>
      <w:r>
        <w:rPr>
          <w:rFonts w:hint="eastAsia" w:ascii="Times New Roman" w:hAnsi="Times New Roman" w:eastAsia="仿宋_GB2312" w:cs="仿宋_GB2312"/>
          <w:color w:val="000000" w:themeColor="text1"/>
          <w:kern w:val="0"/>
          <w:sz w:val="32"/>
          <w:szCs w:val="32"/>
          <w:shd w:val="clear" w:color="auto" w:fill="FFFFFF"/>
          <w14:textFill>
            <w14:solidFill>
              <w14:schemeClr w14:val="tx1"/>
            </w14:solidFill>
          </w14:textFill>
        </w:rPr>
        <w:t>1</w:t>
      </w:r>
      <w:r>
        <w:rPr>
          <w:rFonts w:hint="eastAsia" w:eastAsia="仿宋_GB2312" w:cs="仿宋_GB2312"/>
          <w:color w:val="000000" w:themeColor="text1"/>
          <w:kern w:val="0"/>
          <w:sz w:val="32"/>
          <w:szCs w:val="32"/>
          <w:shd w:val="clear" w:color="auto" w:fill="FFFFFF"/>
          <w:lang w:val="en-US" w:eastAsia="zh-CN"/>
          <w14:textFill>
            <w14:solidFill>
              <w14:schemeClr w14:val="tx1"/>
            </w14:solidFill>
          </w14:textFill>
        </w:rPr>
        <w:t>,</w:t>
      </w:r>
      <w:r>
        <w:rPr>
          <w:rFonts w:hint="eastAsia" w:ascii="Times New Roman" w:hAnsi="Times New Roman" w:eastAsia="仿宋_GB2312" w:cs="仿宋_GB2312"/>
          <w:color w:val="000000" w:themeColor="text1"/>
          <w:kern w:val="0"/>
          <w:sz w:val="32"/>
          <w:szCs w:val="32"/>
          <w:shd w:val="clear" w:color="auto" w:fill="FFFFFF"/>
          <w14:textFill>
            <w14:solidFill>
              <w14:schemeClr w14:val="tx1"/>
            </w14:solidFill>
          </w14:textFill>
        </w:rPr>
        <w:t>244.62</w:t>
      </w:r>
      <w:r>
        <w:rPr>
          <w:rFonts w:hint="eastAsia" w:ascii="Times New Roman" w:hAnsi="Times New Roman" w:eastAsia="仿宋_GB2312" w:cs="仿宋_GB2312"/>
          <w:color w:val="000000" w:themeColor="text1"/>
          <w:kern w:val="0"/>
          <w:sz w:val="32"/>
          <w:szCs w:val="32"/>
          <w:shd w:val="clear" w:color="auto" w:fill="FFFFFF"/>
          <w:lang w:val="zh-CN"/>
          <w14:textFill>
            <w14:solidFill>
              <w14:schemeClr w14:val="tx1"/>
            </w14:solidFill>
          </w14:textFill>
        </w:rPr>
        <w:t>万元，1—1</w:t>
      </w:r>
      <w:r>
        <w:rPr>
          <w:rFonts w:hint="eastAsia" w:ascii="Times New Roman" w:hAnsi="Times New Roman" w:eastAsia="仿宋_GB2312" w:cs="仿宋_GB2312"/>
          <w:color w:val="000000" w:themeColor="text1"/>
          <w:kern w:val="0"/>
          <w:sz w:val="32"/>
          <w:szCs w:val="32"/>
          <w:shd w:val="clear" w:color="auto" w:fill="FFFFFF"/>
          <w14:textFill>
            <w14:solidFill>
              <w14:schemeClr w14:val="tx1"/>
            </w14:solidFill>
          </w14:textFill>
        </w:rPr>
        <w:t>2</w:t>
      </w:r>
      <w:r>
        <w:rPr>
          <w:rFonts w:hint="eastAsia" w:ascii="Times New Roman" w:hAnsi="Times New Roman" w:eastAsia="仿宋_GB2312" w:cs="仿宋_GB2312"/>
          <w:color w:val="000000" w:themeColor="text1"/>
          <w:kern w:val="0"/>
          <w:sz w:val="32"/>
          <w:szCs w:val="32"/>
          <w:shd w:val="clear" w:color="auto" w:fill="FFFFFF"/>
          <w:lang w:val="zh-CN"/>
          <w14:textFill>
            <w14:solidFill>
              <w14:schemeClr w14:val="tx1"/>
            </w14:solidFill>
          </w14:textFill>
        </w:rPr>
        <w:t>月预算执行总体进度为</w:t>
      </w:r>
      <w:r>
        <w:rPr>
          <w:rFonts w:hint="eastAsia" w:ascii="Times New Roman" w:hAnsi="Times New Roman" w:eastAsia="仿宋_GB2312" w:cs="仿宋_GB2312"/>
          <w:color w:val="000000" w:themeColor="text1"/>
          <w:kern w:val="0"/>
          <w:sz w:val="32"/>
          <w:szCs w:val="32"/>
          <w:shd w:val="clear" w:color="auto" w:fill="FFFFFF"/>
          <w14:textFill>
            <w14:solidFill>
              <w14:schemeClr w14:val="tx1"/>
            </w14:solidFill>
          </w14:textFill>
        </w:rPr>
        <w:t>56.4</w:t>
      </w:r>
      <w:r>
        <w:rPr>
          <w:rFonts w:hint="eastAsia" w:ascii="Times New Roman" w:hAnsi="Times New Roman" w:eastAsia="仿宋_GB2312" w:cs="仿宋_GB2312"/>
          <w:color w:val="000000" w:themeColor="text1"/>
          <w:kern w:val="0"/>
          <w:sz w:val="32"/>
          <w:szCs w:val="32"/>
          <w:shd w:val="clear" w:color="auto" w:fill="FFFFFF"/>
          <w:lang w:val="zh-CN"/>
          <w14:textFill>
            <w14:solidFill>
              <w14:schemeClr w14:val="tx1"/>
            </w14:solidFill>
          </w14:textFill>
        </w:rPr>
        <w:t>%。</w:t>
      </w:r>
    </w:p>
    <w:p w14:paraId="4C54BA7F">
      <w:pPr>
        <w:keepNext w:val="0"/>
        <w:keepLines w:val="0"/>
        <w:pageBreakBefore w:val="0"/>
        <w:kinsoku/>
        <w:wordWrap/>
        <w:overflowPunct/>
        <w:topLinePunct w:val="0"/>
        <w:autoSpaceDE/>
        <w:autoSpaceDN/>
        <w:bidi w:val="0"/>
        <w:adjustRightInd w:val="0"/>
        <w:snapToGrid w:val="0"/>
        <w:spacing w:line="600" w:lineRule="exact"/>
        <w:ind w:firstLine="640" w:firstLineChars="200"/>
        <w:contextualSpacing/>
        <w:jc w:val="both"/>
        <w:textAlignment w:val="auto"/>
        <w:rPr>
          <w:rFonts w:hint="eastAsia" w:ascii="Times New Roman" w:hAnsi="Times New Roman" w:eastAsia="仿宋_GB2312" w:cs="仿宋_GB2312"/>
          <w:color w:val="000000" w:themeColor="text1"/>
          <w:sz w:val="32"/>
          <w:szCs w:val="32"/>
          <w:lang w:val="zh-CN"/>
          <w14:textFill>
            <w14:solidFill>
              <w14:schemeClr w14:val="tx1"/>
            </w14:solidFill>
          </w14:textFill>
        </w:rPr>
      </w:pPr>
      <w:r>
        <w:rPr>
          <w:rFonts w:hint="eastAsia" w:ascii="Times New Roman" w:hAnsi="Times New Roman" w:eastAsia="仿宋_GB2312" w:cs="仿宋_GB2312"/>
          <w:color w:val="000000" w:themeColor="text1"/>
          <w:kern w:val="0"/>
          <w:sz w:val="32"/>
          <w:szCs w:val="32"/>
          <w:shd w:val="clear" w:color="auto" w:fill="FFFFFF"/>
          <w:lang w:val="zh-CN"/>
          <w14:textFill>
            <w14:solidFill>
              <w14:schemeClr w14:val="tx1"/>
            </w14:solidFill>
          </w14:textFill>
        </w:rPr>
        <w:t>（</w:t>
      </w:r>
      <w:r>
        <w:rPr>
          <w:rFonts w:hint="eastAsia" w:ascii="Times New Roman" w:hAnsi="Times New Roman" w:eastAsia="仿宋_GB2312" w:cs="仿宋_GB2312"/>
          <w:color w:val="000000" w:themeColor="text1"/>
          <w:kern w:val="0"/>
          <w:sz w:val="32"/>
          <w:szCs w:val="32"/>
          <w:shd w:val="clear" w:color="auto" w:fill="FFFFFF"/>
          <w14:textFill>
            <w14:solidFill>
              <w14:schemeClr w14:val="tx1"/>
            </w14:solidFill>
          </w14:textFill>
        </w:rPr>
        <w:t>1</w:t>
      </w:r>
      <w:r>
        <w:rPr>
          <w:rFonts w:hint="eastAsia" w:ascii="Times New Roman" w:hAnsi="Times New Roman" w:eastAsia="仿宋_GB2312" w:cs="仿宋_GB2312"/>
          <w:color w:val="000000" w:themeColor="text1"/>
          <w:kern w:val="0"/>
          <w:sz w:val="32"/>
          <w:szCs w:val="32"/>
          <w:shd w:val="clear" w:color="auto" w:fill="FFFFFF"/>
          <w:lang w:val="zh-CN"/>
          <w14:textFill>
            <w14:solidFill>
              <w14:schemeClr w14:val="tx1"/>
            </w14:solidFill>
          </w14:textFill>
        </w:rPr>
        <w:t>）项目决策。</w:t>
      </w:r>
      <w:r>
        <w:rPr>
          <w:rFonts w:hint="eastAsia" w:ascii="Times New Roman" w:hAnsi="Times New Roman" w:eastAsia="仿宋_GB2312" w:cs="仿宋_GB2312"/>
          <w:color w:val="000000" w:themeColor="text1"/>
          <w:sz w:val="32"/>
          <w:szCs w:val="32"/>
          <w:lang w:val="zh-CN"/>
          <w14:textFill>
            <w14:solidFill>
              <w14:schemeClr w14:val="tx1"/>
            </w14:solidFill>
          </w14:textFill>
        </w:rPr>
        <w:t>部门预算项目设立按规定履行评估论证、申报程序，部门预算项目绩效目标与计划期内的任务量、预算安排的资金量</w:t>
      </w:r>
      <w:r>
        <w:rPr>
          <w:rFonts w:hint="eastAsia" w:ascii="Times New Roman" w:hAnsi="Times New Roman" w:eastAsia="仿宋_GB2312" w:cs="仿宋_GB2312"/>
          <w:color w:val="000000" w:themeColor="text1"/>
          <w:sz w:val="32"/>
          <w:szCs w:val="32"/>
          <w14:textFill>
            <w14:solidFill>
              <w14:schemeClr w14:val="tx1"/>
            </w14:solidFill>
          </w14:textFill>
        </w:rPr>
        <w:t>相匹配</w:t>
      </w:r>
      <w:r>
        <w:rPr>
          <w:rFonts w:hint="eastAsia" w:ascii="Times New Roman" w:hAnsi="Times New Roman" w:eastAsia="仿宋_GB2312" w:cs="仿宋_GB2312"/>
          <w:color w:val="000000" w:themeColor="text1"/>
          <w:sz w:val="32"/>
          <w:szCs w:val="32"/>
          <w:lang w:val="zh-CN"/>
          <w14:textFill>
            <w14:solidFill>
              <w14:schemeClr w14:val="tx1"/>
            </w14:solidFill>
          </w14:textFill>
        </w:rPr>
        <w:t>，绩效目标设置科学合理、规范完整，</w:t>
      </w:r>
      <w:r>
        <w:rPr>
          <w:rFonts w:hint="eastAsia" w:ascii="Times New Roman" w:hAnsi="Times New Roman" w:eastAsia="仿宋_GB2312" w:cs="仿宋_GB2312"/>
          <w:color w:val="000000" w:themeColor="text1"/>
          <w:sz w:val="32"/>
          <w:szCs w:val="32"/>
          <w14:textFill>
            <w14:solidFill>
              <w14:schemeClr w14:val="tx1"/>
            </w14:solidFill>
          </w14:textFill>
        </w:rPr>
        <w:t>均在规定时间完成入库。</w:t>
      </w:r>
    </w:p>
    <w:p w14:paraId="5B7749CD">
      <w:pPr>
        <w:keepNext w:val="0"/>
        <w:keepLines w:val="0"/>
        <w:pageBreakBefore w:val="0"/>
        <w:kinsoku/>
        <w:wordWrap/>
        <w:overflowPunct/>
        <w:topLinePunct w:val="0"/>
        <w:autoSpaceDE/>
        <w:autoSpaceDN/>
        <w:bidi w:val="0"/>
        <w:adjustRightInd w:val="0"/>
        <w:snapToGrid w:val="0"/>
        <w:spacing w:line="600" w:lineRule="exact"/>
        <w:ind w:firstLine="640" w:firstLineChars="200"/>
        <w:contextualSpacing/>
        <w:jc w:val="both"/>
        <w:textAlignment w:val="auto"/>
        <w:rPr>
          <w:rFonts w:hint="eastAsia" w:ascii="Times New Roman" w:hAnsi="Times New Roman" w:eastAsia="仿宋_GB2312" w:cs="仿宋_GB2312"/>
          <w:color w:val="000000" w:themeColor="text1"/>
          <w:sz w:val="32"/>
          <w:szCs w:val="32"/>
          <w:lang w:val="zh-CN"/>
          <w14:textFill>
            <w14:solidFill>
              <w14:schemeClr w14:val="tx1"/>
            </w14:solidFill>
          </w14:textFill>
        </w:rPr>
      </w:pPr>
      <w:r>
        <w:rPr>
          <w:rFonts w:hint="eastAsia" w:ascii="Times New Roman" w:hAnsi="Times New Roman" w:eastAsia="仿宋_GB2312" w:cs="仿宋_GB2312"/>
          <w:color w:val="000000" w:themeColor="text1"/>
          <w:kern w:val="0"/>
          <w:sz w:val="32"/>
          <w:szCs w:val="32"/>
          <w:shd w:val="clear" w:color="auto" w:fill="FFFFFF"/>
          <w14:textFill>
            <w14:solidFill>
              <w14:schemeClr w14:val="tx1"/>
            </w14:solidFill>
          </w14:textFill>
        </w:rPr>
        <w:t>（2）项目执行</w:t>
      </w:r>
      <w:r>
        <w:rPr>
          <w:rFonts w:hint="eastAsia" w:ascii="Times New Roman" w:hAnsi="Times New Roman" w:eastAsia="仿宋_GB2312" w:cs="仿宋_GB2312"/>
          <w:color w:val="000000" w:themeColor="text1"/>
          <w:kern w:val="0"/>
          <w:sz w:val="32"/>
          <w:szCs w:val="32"/>
          <w:shd w:val="clear" w:color="auto" w:fill="FFFFFF"/>
          <w:lang w:val="zh-CN"/>
          <w14:textFill>
            <w14:solidFill>
              <w14:schemeClr w14:val="tx1"/>
            </w14:solidFill>
          </w14:textFill>
        </w:rPr>
        <w:t>。</w:t>
      </w:r>
      <w:r>
        <w:rPr>
          <w:rFonts w:hint="eastAsia" w:ascii="Times New Roman" w:hAnsi="Times New Roman" w:eastAsia="仿宋_GB2312" w:cs="仿宋_GB2312"/>
          <w:color w:val="000000" w:themeColor="text1"/>
          <w:sz w:val="32"/>
          <w:szCs w:val="32"/>
          <w:lang w:val="zh-CN"/>
          <w14:textFill>
            <w14:solidFill>
              <w14:schemeClr w14:val="tx1"/>
            </w14:solidFill>
          </w14:textFill>
        </w:rPr>
        <w:t>部门预算项目实际列支内容与绩效目标设置方向相符，</w:t>
      </w:r>
      <w:r>
        <w:rPr>
          <w:rFonts w:hint="eastAsia" w:ascii="Times New Roman" w:hAnsi="Times New Roman" w:eastAsia="仿宋_GB2312" w:cs="仿宋_GB2312"/>
          <w:color w:val="000000" w:themeColor="text1"/>
          <w:sz w:val="32"/>
          <w:szCs w:val="32"/>
          <w14:textFill>
            <w14:solidFill>
              <w14:schemeClr w14:val="tx1"/>
            </w14:solidFill>
          </w14:textFill>
        </w:rPr>
        <w:t>不存在应采取未采取收回预算、调整目标等处置措施的部门预算阶段项目，有4个项目预算结余率大于10%。</w:t>
      </w:r>
    </w:p>
    <w:p w14:paraId="343EA811">
      <w:pPr>
        <w:keepNext w:val="0"/>
        <w:keepLines w:val="0"/>
        <w:pageBreakBefore w:val="0"/>
        <w:kinsoku/>
        <w:wordWrap/>
        <w:overflowPunct/>
        <w:topLinePunct w:val="0"/>
        <w:autoSpaceDE/>
        <w:autoSpaceDN/>
        <w:bidi w:val="0"/>
        <w:adjustRightInd w:val="0"/>
        <w:snapToGrid w:val="0"/>
        <w:spacing w:line="600" w:lineRule="exact"/>
        <w:ind w:firstLine="640" w:firstLineChars="200"/>
        <w:contextualSpacing/>
        <w:jc w:val="both"/>
        <w:textAlignment w:val="auto"/>
        <w:rPr>
          <w:rFonts w:hint="eastAsia" w:ascii="Times New Roman" w:hAnsi="Times New Roman" w:eastAsia="仿宋_GB2312" w:cs="仿宋_GB2312"/>
          <w:b/>
          <w:bCs/>
          <w:color w:val="000000" w:themeColor="text1"/>
          <w:kern w:val="0"/>
          <w:sz w:val="32"/>
          <w:szCs w:val="32"/>
          <w:shd w:val="clear" w:color="auto" w:fill="FFFFFF"/>
          <w:lang w:val="zh-CN"/>
          <w14:textFill>
            <w14:solidFill>
              <w14:schemeClr w14:val="tx1"/>
            </w14:solidFill>
          </w14:textFill>
        </w:rPr>
      </w:pPr>
      <w:r>
        <w:rPr>
          <w:rFonts w:hint="eastAsia" w:ascii="Times New Roman" w:hAnsi="Times New Roman" w:eastAsia="仿宋_GB2312" w:cs="仿宋_GB2312"/>
          <w:color w:val="000000" w:themeColor="text1"/>
          <w:kern w:val="0"/>
          <w:sz w:val="32"/>
          <w:szCs w:val="32"/>
          <w:shd w:val="clear" w:color="auto" w:fill="FFFFFF"/>
          <w:lang w:val="zh-CN"/>
          <w14:textFill>
            <w14:solidFill>
              <w14:schemeClr w14:val="tx1"/>
            </w14:solidFill>
          </w14:textFill>
        </w:rPr>
        <w:t>（</w:t>
      </w:r>
      <w:r>
        <w:rPr>
          <w:rFonts w:hint="eastAsia" w:ascii="Times New Roman" w:hAnsi="Times New Roman" w:eastAsia="仿宋_GB2312" w:cs="仿宋_GB2312"/>
          <w:color w:val="000000" w:themeColor="text1"/>
          <w:kern w:val="0"/>
          <w:sz w:val="32"/>
          <w:szCs w:val="32"/>
          <w:shd w:val="clear" w:color="auto" w:fill="FFFFFF"/>
          <w14:textFill>
            <w14:solidFill>
              <w14:schemeClr w14:val="tx1"/>
            </w14:solidFill>
          </w14:textFill>
        </w:rPr>
        <w:t>3</w:t>
      </w:r>
      <w:r>
        <w:rPr>
          <w:rFonts w:hint="eastAsia" w:ascii="Times New Roman" w:hAnsi="Times New Roman" w:eastAsia="仿宋_GB2312" w:cs="仿宋_GB2312"/>
          <w:color w:val="000000" w:themeColor="text1"/>
          <w:kern w:val="0"/>
          <w:sz w:val="32"/>
          <w:szCs w:val="32"/>
          <w:shd w:val="clear" w:color="auto" w:fill="FFFFFF"/>
          <w:lang w:val="zh-CN"/>
          <w14:textFill>
            <w14:solidFill>
              <w14:schemeClr w14:val="tx1"/>
            </w14:solidFill>
          </w14:textFill>
        </w:rPr>
        <w:t>）目标实现。严格按照预算要求执行，合理安排人员、公用经费支出、</w:t>
      </w:r>
      <w:r>
        <w:rPr>
          <w:rFonts w:hint="eastAsia" w:ascii="Times New Roman" w:hAnsi="Times New Roman" w:eastAsia="仿宋_GB2312" w:cs="仿宋_GB2312"/>
          <w:color w:val="000000" w:themeColor="text1"/>
          <w:kern w:val="0"/>
          <w:sz w:val="32"/>
          <w:szCs w:val="32"/>
          <w:shd w:val="clear" w:color="auto" w:fill="FFFFFF"/>
          <w14:textFill>
            <w14:solidFill>
              <w14:schemeClr w14:val="tx1"/>
            </w14:solidFill>
          </w14:textFill>
        </w:rPr>
        <w:t>项目经费，</w:t>
      </w:r>
      <w:r>
        <w:rPr>
          <w:rFonts w:hint="eastAsia" w:ascii="Times New Roman" w:hAnsi="Times New Roman" w:eastAsia="仿宋_GB2312" w:cs="仿宋_GB2312"/>
          <w:color w:val="000000" w:themeColor="text1"/>
          <w:kern w:val="0"/>
          <w:sz w:val="32"/>
          <w:szCs w:val="32"/>
          <w:shd w:val="clear" w:color="auto" w:fill="FFFFFF"/>
          <w:lang w:val="zh-CN"/>
          <w14:textFill>
            <w14:solidFill>
              <w14:schemeClr w14:val="tx1"/>
            </w14:solidFill>
          </w14:textFill>
        </w:rPr>
        <w:t>保障工资及时、足额发放，按时缴纳职工五险一金；保证单位日常运转，工作顺利开展，为贯彻执行国家有关国民经济和社会发展的方针政策、统筹协调全市经济社会发展、协调推进重大项目建设提供保障。</w:t>
      </w:r>
    </w:p>
    <w:p w14:paraId="1AADCA45">
      <w:pPr>
        <w:keepNext w:val="0"/>
        <w:keepLines w:val="0"/>
        <w:pageBreakBefore w:val="0"/>
        <w:widowControl/>
        <w:kinsoku/>
        <w:wordWrap/>
        <w:overflowPunct/>
        <w:topLinePunct w:val="0"/>
        <w:autoSpaceDE/>
        <w:autoSpaceDN/>
        <w:bidi w:val="0"/>
        <w:adjustRightInd w:val="0"/>
        <w:snapToGrid w:val="0"/>
        <w:spacing w:line="600" w:lineRule="exact"/>
        <w:ind w:firstLine="643" w:firstLineChars="200"/>
        <w:contextualSpacing/>
        <w:jc w:val="both"/>
        <w:textAlignment w:val="auto"/>
        <w:rPr>
          <w:rFonts w:hint="eastAsia" w:ascii="Times New Roman" w:hAnsi="Times New Roman" w:eastAsia="仿宋_GB2312" w:cs="仿宋_GB2312"/>
          <w:color w:val="000000" w:themeColor="text1"/>
          <w:sz w:val="32"/>
          <w:szCs w:val="32"/>
          <w14:textFill>
            <w14:solidFill>
              <w14:schemeClr w14:val="tx1"/>
            </w14:solidFill>
          </w14:textFill>
        </w:rPr>
      </w:pPr>
      <w:r>
        <w:rPr>
          <w:rFonts w:hint="eastAsia" w:eastAsia="楷体_GB2312" w:cs="楷体_GB2312"/>
          <w:b/>
          <w:color w:val="000000" w:themeColor="text1"/>
          <w:sz w:val="32"/>
          <w:szCs w:val="32"/>
          <w:lang w:val="zh-CN"/>
          <w14:textFill>
            <w14:solidFill>
              <w14:schemeClr w14:val="tx1"/>
            </w14:solidFill>
          </w14:textFill>
        </w:rPr>
        <w:t>（三）绩效结果应用情况。</w:t>
      </w:r>
      <w:r>
        <w:rPr>
          <w:rFonts w:hint="eastAsia" w:ascii="Times New Roman" w:hAnsi="Times New Roman" w:eastAsia="仿宋_GB2312" w:cs="仿宋_GB2312"/>
          <w:color w:val="000000" w:themeColor="text1"/>
          <w:kern w:val="0"/>
          <w:sz w:val="32"/>
          <w:szCs w:val="32"/>
          <w:shd w:val="clear" w:color="auto" w:fill="FFFFFF"/>
          <w:lang w:val="zh-CN"/>
          <w14:textFill>
            <w14:solidFill>
              <w14:schemeClr w14:val="tx1"/>
            </w14:solidFill>
          </w14:textFill>
        </w:rPr>
        <w:t>我委紧紧围绕部门预算绩效目标推进各项专项工作，实时监控部门预算执行情况，顺利完成各个项目资金年度绩效目标。按照强化绩效管理理念，秉承客观公正、实事求是的原则开展了单位自评工作，绩效目标整体完成较好，已达到年初设定目标值。因部分项目工作进度调整，导致部门项目资金执行</w:t>
      </w:r>
      <w:r>
        <w:rPr>
          <w:rFonts w:hint="eastAsia" w:ascii="Times New Roman" w:hAnsi="Times New Roman" w:eastAsia="仿宋_GB2312" w:cs="仿宋_GB2312"/>
          <w:color w:val="000000" w:themeColor="text1"/>
          <w:kern w:val="0"/>
          <w:sz w:val="32"/>
          <w:szCs w:val="32"/>
          <w:shd w:val="clear" w:color="auto" w:fill="FFFFFF"/>
          <w14:textFill>
            <w14:solidFill>
              <w14:schemeClr w14:val="tx1"/>
            </w14:solidFill>
          </w14:textFill>
        </w:rPr>
        <w:t>进度慢</w:t>
      </w:r>
      <w:r>
        <w:rPr>
          <w:rFonts w:hint="eastAsia" w:ascii="Times New Roman" w:hAnsi="Times New Roman" w:eastAsia="仿宋_GB2312" w:cs="仿宋_GB2312"/>
          <w:color w:val="000000" w:themeColor="text1"/>
          <w:kern w:val="0"/>
          <w:sz w:val="32"/>
          <w:szCs w:val="32"/>
          <w:shd w:val="clear" w:color="auto" w:fill="FFFFFF"/>
          <w:lang w:val="zh-CN"/>
          <w14:textFill>
            <w14:solidFill>
              <w14:schemeClr w14:val="tx1"/>
            </w14:solidFill>
          </w14:textFill>
        </w:rPr>
        <w:t>。针对评价报告中反馈问题，本部门认真开展自查自纠，不断加强学习，不断完善绩效评价指标体系，科学编制预算，严格预算执行，优化资源配置、控制节约成本、不断提高财政资金使用效益，充分发挥本部门的职能作用。</w:t>
      </w:r>
    </w:p>
    <w:p w14:paraId="692B75E1">
      <w:pPr>
        <w:keepNext w:val="0"/>
        <w:keepLines w:val="0"/>
        <w:pageBreakBefore w:val="0"/>
        <w:widowControl/>
        <w:kinsoku/>
        <w:wordWrap/>
        <w:overflowPunct/>
        <w:topLinePunct w:val="0"/>
        <w:autoSpaceDE/>
        <w:autoSpaceDN/>
        <w:bidi w:val="0"/>
        <w:adjustRightInd w:val="0"/>
        <w:snapToGrid w:val="0"/>
        <w:spacing w:line="600" w:lineRule="exact"/>
        <w:ind w:firstLine="640" w:firstLineChars="200"/>
        <w:contextualSpacing/>
        <w:jc w:val="both"/>
        <w:textAlignment w:val="auto"/>
        <w:rPr>
          <w:rFonts w:hint="eastAsia" w:ascii="黑体" w:hAnsi="黑体" w:eastAsia="黑体" w:cs="黑体"/>
          <w:color w:val="000000" w:themeColor="text1"/>
          <w:kern w:val="0"/>
          <w:sz w:val="32"/>
          <w:szCs w:val="32"/>
          <w:shd w:val="clear" w:color="auto" w:fill="FFFFFF"/>
          <w:lang w:val="zh-CN"/>
          <w14:textFill>
            <w14:solidFill>
              <w14:schemeClr w14:val="tx1"/>
            </w14:solidFill>
          </w14:textFill>
        </w:rPr>
      </w:pPr>
      <w:r>
        <w:rPr>
          <w:rFonts w:hint="eastAsia" w:ascii="黑体" w:hAnsi="黑体" w:eastAsia="黑体" w:cs="黑体"/>
          <w:color w:val="000000" w:themeColor="text1"/>
          <w:kern w:val="0"/>
          <w:sz w:val="32"/>
          <w:szCs w:val="32"/>
          <w:shd w:val="clear" w:color="auto" w:fill="FFFFFF"/>
          <w:lang w:val="zh-CN"/>
          <w14:textFill>
            <w14:solidFill>
              <w14:schemeClr w14:val="tx1"/>
            </w14:solidFill>
          </w14:textFill>
        </w:rPr>
        <w:t>四、评价结论及建议</w:t>
      </w:r>
    </w:p>
    <w:p w14:paraId="6C5546A1">
      <w:pPr>
        <w:keepNext w:val="0"/>
        <w:keepLines w:val="0"/>
        <w:pageBreakBefore w:val="0"/>
        <w:kinsoku/>
        <w:wordWrap/>
        <w:overflowPunct/>
        <w:topLinePunct w:val="0"/>
        <w:autoSpaceDE/>
        <w:autoSpaceDN/>
        <w:bidi w:val="0"/>
        <w:snapToGrid w:val="0"/>
        <w:spacing w:line="600" w:lineRule="exact"/>
        <w:ind w:firstLine="643" w:firstLineChars="200"/>
        <w:jc w:val="both"/>
        <w:textAlignment w:val="auto"/>
        <w:rPr>
          <w:rFonts w:hint="eastAsia" w:ascii="Times New Roman" w:hAnsi="Times New Roman" w:eastAsia="仿宋_GB2312" w:cs="仿宋_GB2312"/>
          <w:color w:val="000000" w:themeColor="text1"/>
          <w:kern w:val="0"/>
          <w:sz w:val="32"/>
          <w:szCs w:val="32"/>
          <w:shd w:val="clear" w:color="auto" w:fill="FFFFFF"/>
          <w14:textFill>
            <w14:solidFill>
              <w14:schemeClr w14:val="tx1"/>
            </w14:solidFill>
          </w14:textFill>
        </w:rPr>
      </w:pPr>
      <w:r>
        <w:rPr>
          <w:rFonts w:hint="eastAsia" w:eastAsia="楷体_GB2312" w:cs="楷体_GB2312"/>
          <w:b/>
          <w:color w:val="000000" w:themeColor="text1"/>
          <w:sz w:val="32"/>
          <w:szCs w:val="32"/>
          <w:lang w:val="zh-CN"/>
          <w14:textFill>
            <w14:solidFill>
              <w14:schemeClr w14:val="tx1"/>
            </w14:solidFill>
          </w14:textFill>
        </w:rPr>
        <w:t>（一）评价结论。</w:t>
      </w:r>
      <w:r>
        <w:rPr>
          <w:rFonts w:hint="eastAsia" w:ascii="Times New Roman" w:hAnsi="Times New Roman" w:eastAsia="仿宋_GB2312" w:cs="仿宋_GB2312"/>
          <w:color w:val="000000" w:themeColor="text1"/>
          <w:kern w:val="0"/>
          <w:sz w:val="32"/>
          <w:szCs w:val="32"/>
          <w:shd w:val="clear" w:color="auto" w:fill="FFFFFF"/>
          <w14:textFill>
            <w14:solidFill>
              <w14:schemeClr w14:val="tx1"/>
            </w14:solidFill>
          </w14:textFill>
        </w:rPr>
        <w:t>根据《2025年度部门预算绩效自评打分表》评分标准，市发展改革委2025年部门整体支出绩效自评分数为95.7分，部门预算支出绩效总体良好，各项目达到了相应时期执行进度，并严格按照预算安排执行。其中“三公”经费预算执行率100%，人员经费和公用经费预算执行率100%，政府采购网上竞价、涉密采购及零星需求履行内部采购程序，实现了应采尽采。</w:t>
      </w:r>
    </w:p>
    <w:p w14:paraId="034AED3D">
      <w:pPr>
        <w:keepNext w:val="0"/>
        <w:keepLines w:val="0"/>
        <w:pageBreakBefore w:val="0"/>
        <w:widowControl/>
        <w:kinsoku/>
        <w:wordWrap/>
        <w:overflowPunct/>
        <w:topLinePunct w:val="0"/>
        <w:autoSpaceDE/>
        <w:autoSpaceDN/>
        <w:bidi w:val="0"/>
        <w:adjustRightInd w:val="0"/>
        <w:snapToGrid w:val="0"/>
        <w:spacing w:line="600" w:lineRule="exact"/>
        <w:ind w:firstLine="643" w:firstLineChars="200"/>
        <w:contextualSpacing/>
        <w:jc w:val="both"/>
        <w:textAlignment w:val="auto"/>
        <w:rPr>
          <w:rFonts w:hint="eastAsia" w:ascii="Times New Roman" w:hAnsi="Times New Roman" w:eastAsia="仿宋_GB2312" w:cs="仿宋_GB2312"/>
          <w:color w:val="000000" w:themeColor="text1"/>
          <w:kern w:val="0"/>
          <w:sz w:val="32"/>
          <w:szCs w:val="32"/>
          <w:shd w:val="clear" w:color="auto" w:fill="FFFFFF"/>
          <w14:textFill>
            <w14:solidFill>
              <w14:schemeClr w14:val="tx1"/>
            </w14:solidFill>
          </w14:textFill>
        </w:rPr>
      </w:pPr>
      <w:r>
        <w:rPr>
          <w:rFonts w:hint="eastAsia" w:eastAsia="楷体_GB2312" w:cs="楷体_GB2312"/>
          <w:b/>
          <w:color w:val="000000" w:themeColor="text1"/>
          <w:sz w:val="32"/>
          <w:szCs w:val="32"/>
          <w:lang w:val="zh-CN"/>
          <w14:textFill>
            <w14:solidFill>
              <w14:schemeClr w14:val="tx1"/>
            </w14:solidFill>
          </w14:textFill>
        </w:rPr>
        <w:t>（二）存在问题。</w:t>
      </w:r>
      <w:r>
        <w:rPr>
          <w:rFonts w:hint="eastAsia" w:ascii="Times New Roman" w:hAnsi="Times New Roman" w:eastAsia="仿宋_GB2312" w:cs="仿宋_GB2312"/>
          <w:color w:val="000000" w:themeColor="text1"/>
          <w:kern w:val="0"/>
          <w:sz w:val="32"/>
          <w:szCs w:val="32"/>
          <w:shd w:val="clear" w:color="auto" w:fill="FFFFFF"/>
          <w14:textFill>
            <w14:solidFill>
              <w14:schemeClr w14:val="tx1"/>
            </w14:solidFill>
          </w14:textFill>
        </w:rPr>
        <w:t>一是年初预算编制准确程度有待提高。由于机关人员变动、业务工作开展需要，进行了年中预算追加和调整，全年预算执行数与年初预算数存在一定偏离。二是部分项目资金执行率不高。因部分项目工作进度调整，加上财政资金紧张，导致部分项目资金执行率有待提高。三是部分政府采购项目因项目执行进度需根据实际开展情况进行调整，本年采购执行率有待提高。</w:t>
      </w:r>
    </w:p>
    <w:p w14:paraId="3D375FE7">
      <w:pPr>
        <w:keepNext w:val="0"/>
        <w:keepLines w:val="0"/>
        <w:pageBreakBefore w:val="0"/>
        <w:widowControl/>
        <w:kinsoku/>
        <w:wordWrap/>
        <w:overflowPunct/>
        <w:topLinePunct w:val="0"/>
        <w:autoSpaceDE/>
        <w:autoSpaceDN/>
        <w:bidi w:val="0"/>
        <w:adjustRightInd w:val="0"/>
        <w:snapToGrid w:val="0"/>
        <w:spacing w:line="600" w:lineRule="exact"/>
        <w:ind w:firstLine="643" w:firstLineChars="200"/>
        <w:contextualSpacing/>
        <w:jc w:val="both"/>
        <w:textAlignment w:val="auto"/>
        <w:rPr>
          <w:rFonts w:hint="eastAsia" w:ascii="Times New Roman" w:hAnsi="Times New Roman" w:eastAsia="仿宋_GB2312" w:cs="仿宋_GB2312"/>
          <w:color w:val="000000" w:themeColor="text1"/>
          <w:kern w:val="0"/>
          <w:sz w:val="32"/>
          <w:szCs w:val="32"/>
          <w14:textFill>
            <w14:solidFill>
              <w14:schemeClr w14:val="tx1"/>
            </w14:solidFill>
          </w14:textFill>
        </w:rPr>
      </w:pPr>
      <w:r>
        <w:rPr>
          <w:rFonts w:hint="eastAsia" w:eastAsia="楷体_GB2312" w:cs="楷体_GB2312"/>
          <w:b/>
          <w:color w:val="000000" w:themeColor="text1"/>
          <w:sz w:val="32"/>
          <w:szCs w:val="32"/>
          <w:lang w:val="zh-CN"/>
          <w14:textFill>
            <w14:solidFill>
              <w14:schemeClr w14:val="tx1"/>
            </w14:solidFill>
          </w14:textFill>
        </w:rPr>
        <w:t>（三）改进建议。</w:t>
      </w:r>
      <w:bookmarkStart w:id="69" w:name="_Hlk110546638"/>
      <w:r>
        <w:rPr>
          <w:rFonts w:hint="eastAsia" w:ascii="Times New Roman" w:hAnsi="Times New Roman" w:eastAsia="仿宋_GB2312" w:cs="仿宋_GB2312"/>
          <w:color w:val="000000" w:themeColor="text1"/>
          <w:kern w:val="0"/>
          <w:sz w:val="32"/>
          <w:szCs w:val="32"/>
          <w:shd w:val="clear" w:color="auto" w:fill="FFFFFF"/>
          <w14:textFill>
            <w14:solidFill>
              <w14:schemeClr w14:val="tx1"/>
            </w14:solidFill>
          </w14:textFill>
        </w:rPr>
        <w:t>一是科学精细编制预算。一方面严格按照预算管理要求开展预算编制工作，提高年初预算科学化、精细化水平，尽量减少年中调整事项；另一方面，严格遵循预算编制口径的一贯性及可比性原则，预算编制要切合实际工作经费需要，尽可能减少项目支出预算使用用途的调整，提高预算调整合理性。二是合理安排各项目资金支出。加强与财政部门沟通，尽可能保持均衡的支出进度，保障重点项目进度正常推进。三是加强政府采购管理。科学编制政府采购计划，严格按照内部控制管理制度及外部政策要求实施采购，进一步提高政府采购执行率。</w:t>
      </w:r>
    </w:p>
    <w:bookmarkEnd w:id="69"/>
    <w:p w14:paraId="6D5FEDC3">
      <w:pPr>
        <w:pStyle w:val="8"/>
        <w:keepNext w:val="0"/>
        <w:keepLines w:val="0"/>
        <w:pageBreakBefore w:val="0"/>
        <w:kinsoku/>
        <w:wordWrap/>
        <w:overflowPunct/>
        <w:topLinePunct w:val="0"/>
        <w:autoSpaceDE/>
        <w:autoSpaceDN/>
        <w:bidi w:val="0"/>
        <w:spacing w:after="0" w:line="600" w:lineRule="exact"/>
        <w:ind w:left="0" w:leftChars="0" w:firstLine="640" w:firstLineChars="200"/>
        <w:jc w:val="both"/>
        <w:textAlignment w:val="auto"/>
        <w:rPr>
          <w:rFonts w:hint="eastAsia" w:ascii="Times New Roman" w:hAnsi="Times New Roman" w:eastAsia="仿宋_GB2312" w:cs="仿宋_GB2312"/>
          <w:color w:val="000000" w:themeColor="text1"/>
          <w:sz w:val="32"/>
          <w:lang w:val="zh-CN" w:bidi="ar"/>
          <w14:textFill>
            <w14:solidFill>
              <w14:schemeClr w14:val="tx1"/>
            </w14:solidFill>
          </w14:textFill>
        </w:rPr>
      </w:pPr>
    </w:p>
    <w:p w14:paraId="31E2B57D">
      <w:pPr>
        <w:pStyle w:val="8"/>
        <w:keepNext w:val="0"/>
        <w:keepLines w:val="0"/>
        <w:pageBreakBefore w:val="0"/>
        <w:kinsoku/>
        <w:wordWrap/>
        <w:overflowPunct/>
        <w:topLinePunct w:val="0"/>
        <w:autoSpaceDE/>
        <w:autoSpaceDN/>
        <w:bidi w:val="0"/>
        <w:spacing w:after="0" w:line="600" w:lineRule="exact"/>
        <w:ind w:left="0" w:leftChars="0" w:firstLine="640" w:firstLineChars="200"/>
        <w:jc w:val="both"/>
        <w:textAlignment w:val="auto"/>
        <w:rPr>
          <w:rFonts w:hint="eastAsia" w:ascii="Times New Roman" w:hAnsi="Times New Roman" w:eastAsia="仿宋_GB2312" w:cs="仿宋_GB2312"/>
          <w:color w:val="000000" w:themeColor="text1"/>
          <w:sz w:val="32"/>
          <w:lang w:val="zh-CN" w:bidi="ar"/>
          <w14:textFill>
            <w14:solidFill>
              <w14:schemeClr w14:val="tx1"/>
            </w14:solidFill>
          </w14:textFill>
        </w:rPr>
      </w:pPr>
      <w:r>
        <w:rPr>
          <w:rFonts w:hint="eastAsia" w:ascii="Times New Roman" w:hAnsi="Times New Roman" w:eastAsia="仿宋_GB2312" w:cs="仿宋_GB2312"/>
          <w:color w:val="000000" w:themeColor="text1"/>
          <w:sz w:val="32"/>
          <w:lang w:val="zh-CN" w:bidi="ar"/>
          <w14:textFill>
            <w14:solidFill>
              <w14:schemeClr w14:val="tx1"/>
            </w14:solidFill>
          </w14:textFill>
        </w:rPr>
        <w:t>附表：</w:t>
      </w:r>
      <w:r>
        <w:rPr>
          <w:rFonts w:hint="eastAsia" w:ascii="Times New Roman" w:hAnsi="Times New Roman" w:eastAsia="仿宋_GB2312" w:cs="仿宋_GB2312"/>
          <w:color w:val="000000" w:themeColor="text1"/>
          <w:sz w:val="32"/>
          <w:lang w:bidi="ar"/>
          <w14:textFill>
            <w14:solidFill>
              <w14:schemeClr w14:val="tx1"/>
            </w14:solidFill>
          </w14:textFill>
        </w:rPr>
        <w:t>部门预算项目支出绩效自评表（2025年度）</w:t>
      </w:r>
    </w:p>
    <w:p w14:paraId="727274BF">
      <w:pPr>
        <w:pStyle w:val="8"/>
        <w:keepNext w:val="0"/>
        <w:keepLines w:val="0"/>
        <w:pageBreakBefore w:val="0"/>
        <w:kinsoku/>
        <w:wordWrap/>
        <w:overflowPunct/>
        <w:topLinePunct w:val="0"/>
        <w:autoSpaceDE/>
        <w:autoSpaceDN/>
        <w:bidi w:val="0"/>
        <w:spacing w:after="0" w:line="600" w:lineRule="exact"/>
        <w:ind w:left="0" w:leftChars="0" w:firstLine="640" w:firstLineChars="200"/>
        <w:jc w:val="both"/>
        <w:textAlignment w:val="auto"/>
        <w:rPr>
          <w:rFonts w:hint="eastAsia" w:ascii="Times New Roman" w:hAnsi="Times New Roman" w:eastAsia="仿宋_GB2312" w:cs="仿宋_GB2312"/>
          <w:color w:val="000000" w:themeColor="text1"/>
          <w:sz w:val="32"/>
          <w:highlight w:val="yellow"/>
          <w:lang w:val="zh-CN"/>
          <w14:textFill>
            <w14:solidFill>
              <w14:schemeClr w14:val="tx1"/>
            </w14:solidFill>
          </w14:textFill>
        </w:rPr>
      </w:pPr>
    </w:p>
    <w:p w14:paraId="4234B29D">
      <w:pPr>
        <w:pStyle w:val="6"/>
        <w:keepNext w:val="0"/>
        <w:keepLines w:val="0"/>
        <w:pageBreakBefore w:val="0"/>
        <w:kinsoku/>
        <w:wordWrap/>
        <w:overflowPunct/>
        <w:topLinePunct w:val="0"/>
        <w:autoSpaceDE/>
        <w:autoSpaceDN/>
        <w:bidi w:val="0"/>
        <w:spacing w:beforeLines="0" w:line="600" w:lineRule="exact"/>
        <w:ind w:firstLine="640" w:firstLineChars="200"/>
        <w:jc w:val="both"/>
        <w:textAlignment w:val="auto"/>
        <w:rPr>
          <w:rFonts w:hint="eastAsia" w:ascii="Times New Roman" w:hAnsi="Times New Roman" w:eastAsia="仿宋_GB2312" w:cs="仿宋_GB2312"/>
          <w:color w:val="000000" w:themeColor="text1"/>
          <w:sz w:val="32"/>
          <w:szCs w:val="32"/>
          <w:highlight w:val="yellow"/>
          <w:shd w:val="clear" w:color="auto" w:fill="FFFFFF"/>
          <w:lang w:val="zh-CN"/>
          <w14:textFill>
            <w14:solidFill>
              <w14:schemeClr w14:val="tx1"/>
            </w14:solidFill>
          </w14:textFill>
        </w:rPr>
      </w:pPr>
    </w:p>
    <w:p w14:paraId="318B2561">
      <w:pPr>
        <w:keepNext w:val="0"/>
        <w:keepLines w:val="0"/>
        <w:pageBreakBefore w:val="0"/>
        <w:kinsoku/>
        <w:wordWrap/>
        <w:overflowPunct/>
        <w:topLinePunct w:val="0"/>
        <w:autoSpaceDE/>
        <w:autoSpaceDN/>
        <w:bidi w:val="0"/>
        <w:spacing w:line="600" w:lineRule="exact"/>
        <w:ind w:firstLine="640" w:firstLineChars="200"/>
        <w:jc w:val="both"/>
        <w:textAlignment w:val="auto"/>
        <w:rPr>
          <w:rFonts w:eastAsia="黑体" w:cs="黑体"/>
          <w:color w:val="000000" w:themeColor="text1"/>
          <w:kern w:val="0"/>
          <w:sz w:val="32"/>
          <w:szCs w:val="32"/>
          <w:shd w:val="clear" w:color="auto" w:fill="FFFFFF"/>
          <w:lang w:val="zh-CN"/>
          <w14:textFill>
            <w14:solidFill>
              <w14:schemeClr w14:val="tx1"/>
            </w14:solidFill>
          </w14:textFill>
        </w:rPr>
      </w:pPr>
      <w:r>
        <w:rPr>
          <w:rFonts w:hint="eastAsia" w:ascii="Times New Roman" w:hAnsi="Times New Roman" w:eastAsia="仿宋_GB2312" w:cs="仿宋_GB2312"/>
          <w:color w:val="000000" w:themeColor="text1"/>
          <w:kern w:val="0"/>
          <w:sz w:val="32"/>
          <w:szCs w:val="32"/>
          <w:shd w:val="clear" w:color="auto" w:fill="FFFFFF"/>
          <w:lang w:val="zh-CN"/>
          <w14:textFill>
            <w14:solidFill>
              <w14:schemeClr w14:val="tx1"/>
            </w14:solidFill>
          </w14:textFill>
        </w:rPr>
        <w:br w:type="page"/>
      </w:r>
    </w:p>
    <w:p w14:paraId="0022F24F">
      <w:pPr>
        <w:pStyle w:val="6"/>
        <w:spacing w:before="93"/>
        <w:rPr>
          <w:rFonts w:ascii="Times New Roman" w:eastAsia="黑体" w:cs="黑体"/>
          <w:color w:val="000000" w:themeColor="text1"/>
          <w:sz w:val="32"/>
          <w:szCs w:val="32"/>
          <w14:textFill>
            <w14:solidFill>
              <w14:schemeClr w14:val="tx1"/>
            </w14:solidFill>
          </w14:textFill>
        </w:rPr>
      </w:pPr>
      <w:r>
        <w:rPr>
          <w:rFonts w:hint="eastAsia" w:ascii="Times New Roman" w:eastAsia="黑体" w:cs="黑体"/>
          <w:color w:val="000000" w:themeColor="text1"/>
          <w:sz w:val="32"/>
          <w:szCs w:val="32"/>
          <w:shd w:val="clear" w:color="auto" w:fill="FFFFFF"/>
          <w:lang w:val="zh-CN"/>
          <w14:textFill>
            <w14:solidFill>
              <w14:schemeClr w14:val="tx1"/>
            </w14:solidFill>
          </w14:textFill>
        </w:rPr>
        <w:t>附件</w:t>
      </w:r>
      <w:r>
        <w:rPr>
          <w:rFonts w:hint="eastAsia" w:ascii="Times New Roman" w:eastAsia="黑体" w:cs="黑体"/>
          <w:color w:val="000000" w:themeColor="text1"/>
          <w:sz w:val="32"/>
          <w:szCs w:val="32"/>
          <w:shd w:val="clear" w:color="auto" w:fill="FFFFFF"/>
          <w14:textFill>
            <w14:solidFill>
              <w14:schemeClr w14:val="tx1"/>
            </w14:solidFill>
          </w14:textFill>
        </w:rPr>
        <w:t>2</w:t>
      </w:r>
    </w:p>
    <w:p w14:paraId="54795A38">
      <w:pPr>
        <w:pStyle w:val="35"/>
        <w:spacing w:line="578" w:lineRule="exact"/>
        <w:jc w:val="center"/>
        <w:rPr>
          <w:rFonts w:ascii="Times New Roman" w:hAnsi="Times New Roman" w:eastAsia="方正小标宋简体" w:cs="方正小标宋简体"/>
          <w:color w:val="000000" w:themeColor="text1"/>
          <w:kern w:val="2"/>
          <w:sz w:val="44"/>
          <w:szCs w:val="44"/>
          <w:lang w:val="en-US"/>
          <w14:textFill>
            <w14:solidFill>
              <w14:schemeClr w14:val="tx1"/>
            </w14:solidFill>
          </w14:textFill>
        </w:rPr>
      </w:pPr>
    </w:p>
    <w:p w14:paraId="09A79B66">
      <w:pPr>
        <w:pStyle w:val="35"/>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ascii="Times New Roman" w:hAnsi="Times New Roman" w:eastAsia="方正小标宋简体" w:cs="方正小标宋简体"/>
          <w:color w:val="000000" w:themeColor="text1"/>
          <w:kern w:val="2"/>
          <w:sz w:val="44"/>
          <w:szCs w:val="44"/>
          <w:lang w:val="en-US"/>
          <w14:textFill>
            <w14:solidFill>
              <w14:schemeClr w14:val="tx1"/>
            </w14:solidFill>
          </w14:textFill>
        </w:rPr>
      </w:pPr>
      <w:r>
        <w:rPr>
          <w:rFonts w:hint="eastAsia" w:ascii="Times New Roman" w:hAnsi="Times New Roman" w:eastAsia="方正小标宋简体"/>
          <w:color w:val="000000" w:themeColor="text1"/>
          <w:kern w:val="2"/>
          <w:sz w:val="44"/>
          <w:szCs w:val="44"/>
          <w:lang w:val="en-US"/>
          <w14:textFill>
            <w14:solidFill>
              <w14:schemeClr w14:val="tx1"/>
            </w14:solidFill>
          </w14:textFill>
        </w:rPr>
        <w:t>2025年政策性粮油储备等费用</w:t>
      </w:r>
      <w:r>
        <w:rPr>
          <w:rFonts w:hint="eastAsia" w:ascii="Times New Roman" w:hAnsi="Times New Roman" w:eastAsia="方正小标宋简体" w:cs="方正小标宋简体"/>
          <w:color w:val="000000" w:themeColor="text1"/>
          <w:kern w:val="2"/>
          <w:sz w:val="44"/>
          <w:szCs w:val="44"/>
          <w:lang w:val="en-US"/>
          <w14:textFill>
            <w14:solidFill>
              <w14:schemeClr w14:val="tx1"/>
            </w14:solidFill>
          </w14:textFill>
        </w:rPr>
        <w:t>专项预算</w:t>
      </w:r>
    </w:p>
    <w:p w14:paraId="07048A0C">
      <w:pPr>
        <w:pStyle w:val="35"/>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ascii="Times New Roman" w:hAnsi="Times New Roman" w:eastAsia="方正小标宋简体" w:cs="方正小标宋简体"/>
          <w:color w:val="000000" w:themeColor="text1"/>
          <w:kern w:val="2"/>
          <w:sz w:val="44"/>
          <w:szCs w:val="44"/>
          <w:lang w:val="en-US"/>
          <w14:textFill>
            <w14:solidFill>
              <w14:schemeClr w14:val="tx1"/>
            </w14:solidFill>
          </w14:textFill>
        </w:rPr>
      </w:pPr>
      <w:r>
        <w:rPr>
          <w:rFonts w:hint="eastAsia" w:ascii="Times New Roman" w:hAnsi="Times New Roman" w:eastAsia="方正小标宋简体" w:cs="方正小标宋简体"/>
          <w:color w:val="000000" w:themeColor="text1"/>
          <w:kern w:val="2"/>
          <w:sz w:val="44"/>
          <w:szCs w:val="44"/>
          <w:lang w:val="en-US"/>
          <w14:textFill>
            <w14:solidFill>
              <w14:schemeClr w14:val="tx1"/>
            </w14:solidFill>
          </w14:textFill>
        </w:rPr>
        <w:t>项目绩效</w:t>
      </w:r>
      <w:r>
        <w:rPr>
          <w:rFonts w:hint="eastAsia" w:ascii="Times New Roman" w:hAnsi="Times New Roman" w:eastAsia="方正小标宋简体" w:cs="方正小标宋简体"/>
          <w:color w:val="000000" w:themeColor="text1"/>
          <w:kern w:val="2"/>
          <w:sz w:val="44"/>
          <w:szCs w:val="44"/>
          <w:lang w:val="en-US" w:eastAsia="zh-CN"/>
          <w14:textFill>
            <w14:solidFill>
              <w14:schemeClr w14:val="tx1"/>
            </w14:solidFill>
          </w14:textFill>
        </w:rPr>
        <w:t>自</w:t>
      </w:r>
      <w:bookmarkStart w:id="98" w:name="_GoBack"/>
      <w:bookmarkEnd w:id="98"/>
      <w:r>
        <w:rPr>
          <w:rFonts w:hint="eastAsia" w:ascii="Times New Roman" w:hAnsi="Times New Roman" w:eastAsia="方正小标宋简体" w:cs="方正小标宋简体"/>
          <w:color w:val="000000" w:themeColor="text1"/>
          <w:kern w:val="2"/>
          <w:sz w:val="44"/>
          <w:szCs w:val="44"/>
          <w:lang w:val="en-US"/>
          <w14:textFill>
            <w14:solidFill>
              <w14:schemeClr w14:val="tx1"/>
            </w14:solidFill>
          </w14:textFill>
        </w:rPr>
        <w:t>评报告</w:t>
      </w:r>
    </w:p>
    <w:p w14:paraId="3412F37F">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eastAsia" w:ascii="Times New Roman" w:hAnsi="Times New Roman" w:eastAsia="仿宋_GB2312" w:cs="仿宋_GB2312"/>
          <w:color w:val="000000" w:themeColor="text1"/>
          <w:sz w:val="32"/>
          <w:szCs w:val="32"/>
          <w14:textFill>
            <w14:solidFill>
              <w14:schemeClr w14:val="tx1"/>
            </w14:solidFill>
          </w14:textFill>
        </w:rPr>
      </w:pPr>
    </w:p>
    <w:p w14:paraId="6FE69953">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eastAsia" w:ascii="黑体" w:hAnsi="黑体" w:eastAsia="黑体" w:cs="黑体"/>
          <w:color w:val="000000" w:themeColor="text1"/>
          <w:sz w:val="32"/>
          <w:szCs w:val="32"/>
          <w:lang w:val="zh-CN"/>
          <w14:textFill>
            <w14:solidFill>
              <w14:schemeClr w14:val="tx1"/>
            </w14:solidFill>
          </w14:textFill>
        </w:rPr>
      </w:pPr>
      <w:r>
        <w:rPr>
          <w:rFonts w:hint="eastAsia" w:ascii="黑体" w:hAnsi="黑体" w:eastAsia="黑体" w:cs="黑体"/>
          <w:color w:val="000000" w:themeColor="text1"/>
          <w:sz w:val="32"/>
          <w:szCs w:val="32"/>
          <w14:textFill>
            <w14:solidFill>
              <w14:schemeClr w14:val="tx1"/>
            </w14:solidFill>
          </w14:textFill>
        </w:rPr>
        <w:t>一、</w:t>
      </w:r>
      <w:r>
        <w:rPr>
          <w:rFonts w:hint="eastAsia" w:ascii="黑体" w:hAnsi="黑体" w:eastAsia="黑体" w:cs="黑体"/>
          <w:color w:val="000000" w:themeColor="text1"/>
          <w:sz w:val="32"/>
          <w:szCs w:val="32"/>
          <w:lang w:val="zh-CN"/>
          <w14:textFill>
            <w14:solidFill>
              <w14:schemeClr w14:val="tx1"/>
            </w14:solidFill>
          </w14:textFill>
        </w:rPr>
        <w:t>项目概况</w:t>
      </w:r>
    </w:p>
    <w:p w14:paraId="7D39A049">
      <w:pPr>
        <w:keepNext w:val="0"/>
        <w:keepLines w:val="0"/>
        <w:pageBreakBefore w:val="0"/>
        <w:widowControl/>
        <w:kinsoku/>
        <w:wordWrap/>
        <w:overflowPunct/>
        <w:topLinePunct w:val="0"/>
        <w:autoSpaceDE/>
        <w:autoSpaceDN/>
        <w:bidi w:val="0"/>
        <w:adjustRightInd w:val="0"/>
        <w:snapToGrid w:val="0"/>
        <w:spacing w:line="600" w:lineRule="exact"/>
        <w:ind w:firstLine="643" w:firstLineChars="200"/>
        <w:contextualSpacing/>
        <w:jc w:val="both"/>
        <w:textAlignment w:val="auto"/>
        <w:rPr>
          <w:rFonts w:hint="eastAsia" w:eastAsia="楷体_GB2312" w:cs="楷体_GB2312"/>
          <w:b/>
          <w:color w:val="000000" w:themeColor="text1"/>
          <w:sz w:val="32"/>
          <w:szCs w:val="32"/>
          <w:lang w:val="zh-CN"/>
          <w14:textFill>
            <w14:solidFill>
              <w14:schemeClr w14:val="tx1"/>
            </w14:solidFill>
          </w14:textFill>
        </w:rPr>
      </w:pPr>
      <w:r>
        <w:rPr>
          <w:rFonts w:hint="eastAsia" w:eastAsia="楷体_GB2312" w:cs="楷体_GB2312"/>
          <w:b/>
          <w:color w:val="000000" w:themeColor="text1"/>
          <w:sz w:val="32"/>
          <w:szCs w:val="32"/>
          <w:lang w:val="zh-CN"/>
          <w14:textFill>
            <w14:solidFill>
              <w14:schemeClr w14:val="tx1"/>
            </w14:solidFill>
          </w14:textFill>
        </w:rPr>
        <w:t>（一）项目基本情况</w:t>
      </w:r>
    </w:p>
    <w:p w14:paraId="72C21BA3">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eastAsia" w:ascii="Times New Roman" w:hAnsi="Times New Roman" w:eastAsia="仿宋_GB2312" w:cs="仿宋_GB2312"/>
          <w:color w:val="000000" w:themeColor="text1"/>
          <w:sz w:val="32"/>
          <w:szCs w:val="32"/>
          <w:lang w:val="zh-CN"/>
          <w14:textFill>
            <w14:solidFill>
              <w14:schemeClr w14:val="tx1"/>
            </w14:solidFill>
          </w14:textFill>
        </w:rPr>
      </w:pPr>
      <w:r>
        <w:rPr>
          <w:rFonts w:hint="eastAsia" w:ascii="Times New Roman" w:hAnsi="Times New Roman" w:eastAsia="仿宋_GB2312" w:cs="仿宋_GB2312"/>
          <w:color w:val="000000" w:themeColor="text1"/>
          <w:sz w:val="32"/>
          <w:szCs w:val="32"/>
          <w:lang w:val="zh-CN"/>
          <w14:textFill>
            <w14:solidFill>
              <w14:schemeClr w14:val="tx1"/>
            </w14:solidFill>
          </w14:textFill>
        </w:rPr>
        <w:t>1.项目主管部门（单位）在该项目管理中的职能。市发展改革委负责市级储备粮行政管理，对市级储备粮的数量、质量和储存安全实施监督管理；会同市财政局、中国农业发展银行攀枝花市分行拟订市级储备粮规模、品种结构、总体布局、动用方案等宏观调控意见，下达分品种、分库点的承储、购销、轮换等计划，根据市人民政府安排下达动用计划。</w:t>
      </w:r>
    </w:p>
    <w:p w14:paraId="14F72C44">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eastAsia" w:ascii="Times New Roman" w:hAnsi="Times New Roman" w:eastAsia="仿宋_GB2312" w:cs="仿宋_GB2312"/>
          <w:color w:val="000000" w:themeColor="text1"/>
          <w:sz w:val="32"/>
          <w:szCs w:val="32"/>
          <w:lang w:val="zh-CN"/>
          <w14:textFill>
            <w14:solidFill>
              <w14:schemeClr w14:val="tx1"/>
            </w14:solidFill>
          </w14:textFill>
        </w:rPr>
      </w:pPr>
      <w:r>
        <w:rPr>
          <w:rFonts w:hint="eastAsia" w:ascii="Times New Roman" w:hAnsi="Times New Roman" w:eastAsia="仿宋_GB2312" w:cs="仿宋_GB2312"/>
          <w:color w:val="000000" w:themeColor="text1"/>
          <w:sz w:val="32"/>
          <w:szCs w:val="32"/>
          <w:lang w:val="zh-CN"/>
          <w14:textFill>
            <w14:solidFill>
              <w14:schemeClr w14:val="tx1"/>
            </w14:solidFill>
          </w14:textFill>
        </w:rPr>
        <w:t>2.项目立项、资金申报的依据。</w:t>
      </w:r>
      <w:r>
        <w:rPr>
          <w:rFonts w:hint="eastAsia" w:ascii="Times New Roman" w:hAnsi="Times New Roman" w:eastAsia="仿宋_GB2312" w:cs="仿宋_GB2312"/>
          <w:color w:val="000000" w:themeColor="text1"/>
          <w:sz w:val="32"/>
          <w:szCs w:val="32"/>
          <w14:textFill>
            <w14:solidFill>
              <w14:schemeClr w14:val="tx1"/>
            </w14:solidFill>
          </w14:textFill>
        </w:rPr>
        <w:t>市级储备粮资金管理按照《关于印发攀枝花市级储备粮管理（暂行）办法的通知》</w:t>
      </w:r>
      <w:r>
        <w:rPr>
          <w:rFonts w:hint="eastAsia" w:ascii="Times New Roman" w:hAnsi="Times New Roman" w:eastAsia="仿宋_GB2312" w:cs="仿宋_GB2312"/>
          <w:color w:val="000000" w:themeColor="text1"/>
          <w:sz w:val="32"/>
          <w:szCs w:val="32"/>
          <w:lang w:val="zh-CN"/>
          <w14:textFill>
            <w14:solidFill>
              <w14:schemeClr w14:val="tx1"/>
            </w14:solidFill>
          </w14:textFill>
        </w:rPr>
        <w:t>（攀粮发〔</w:t>
      </w:r>
      <w:r>
        <w:rPr>
          <w:rFonts w:hint="eastAsia" w:ascii="Times New Roman" w:hAnsi="Times New Roman" w:eastAsia="仿宋_GB2312" w:cs="仿宋_GB2312"/>
          <w:color w:val="000000" w:themeColor="text1"/>
          <w:sz w:val="32"/>
          <w:szCs w:val="32"/>
          <w14:textFill>
            <w14:solidFill>
              <w14:schemeClr w14:val="tx1"/>
            </w14:solidFill>
          </w14:textFill>
        </w:rPr>
        <w:t>2023</w:t>
      </w:r>
      <w:r>
        <w:rPr>
          <w:rFonts w:hint="eastAsia" w:ascii="Times New Roman" w:hAnsi="Times New Roman" w:eastAsia="仿宋_GB2312" w:cs="仿宋_GB2312"/>
          <w:color w:val="000000" w:themeColor="text1"/>
          <w:sz w:val="32"/>
          <w:szCs w:val="32"/>
          <w:lang w:val="zh-CN"/>
          <w14:textFill>
            <w14:solidFill>
              <w14:schemeClr w14:val="tx1"/>
            </w14:solidFill>
          </w14:textFill>
        </w:rPr>
        <w:t>〕</w:t>
      </w:r>
      <w:r>
        <w:rPr>
          <w:rFonts w:hint="eastAsia" w:ascii="Times New Roman" w:hAnsi="Times New Roman" w:eastAsia="仿宋_GB2312" w:cs="仿宋_GB2312"/>
          <w:color w:val="000000" w:themeColor="text1"/>
          <w:sz w:val="32"/>
          <w:szCs w:val="32"/>
          <w14:textFill>
            <w14:solidFill>
              <w14:schemeClr w14:val="tx1"/>
            </w14:solidFill>
          </w14:textFill>
        </w:rPr>
        <w:t>16</w:t>
      </w:r>
      <w:r>
        <w:rPr>
          <w:rFonts w:hint="eastAsia" w:ascii="Times New Roman" w:hAnsi="Times New Roman" w:eastAsia="仿宋_GB2312" w:cs="仿宋_GB2312"/>
          <w:color w:val="000000" w:themeColor="text1"/>
          <w:sz w:val="32"/>
          <w:szCs w:val="32"/>
          <w:lang w:val="zh-CN"/>
          <w14:textFill>
            <w14:solidFill>
              <w14:schemeClr w14:val="tx1"/>
            </w14:solidFill>
          </w14:textFill>
        </w:rPr>
        <w:t>号）执行；市级储备稻谷储备费用补贴标准按照《关于调整市级储备粮费用标准的通知》（攀财建〔2017〕8号）执行，其中保管费用、轮换费用实行定额补贴，保管费用标准为150元/吨/年，轮换费用标准为200元/吨/年；市级储备小包装粮油储备费用补贴标准按照《关于印发〈攀枝花市本级小包装成品粮油储备管理（暂行）办法〉的通知》（攀粮发〔</w:t>
      </w:r>
      <w:r>
        <w:rPr>
          <w:rFonts w:hint="eastAsia" w:ascii="Times New Roman" w:hAnsi="Times New Roman" w:eastAsia="仿宋_GB2312" w:cs="仿宋_GB2312"/>
          <w:color w:val="000000" w:themeColor="text1"/>
          <w:sz w:val="32"/>
          <w:szCs w:val="32"/>
          <w14:textFill>
            <w14:solidFill>
              <w14:schemeClr w14:val="tx1"/>
            </w14:solidFill>
          </w14:textFill>
        </w:rPr>
        <w:t>2009</w:t>
      </w:r>
      <w:r>
        <w:rPr>
          <w:rFonts w:hint="eastAsia" w:ascii="Times New Roman" w:hAnsi="Times New Roman" w:eastAsia="仿宋_GB2312" w:cs="仿宋_GB2312"/>
          <w:color w:val="000000" w:themeColor="text1"/>
          <w:sz w:val="32"/>
          <w:szCs w:val="32"/>
          <w:lang w:val="zh-CN"/>
          <w14:textFill>
            <w14:solidFill>
              <w14:schemeClr w14:val="tx1"/>
            </w14:solidFill>
          </w14:textFill>
        </w:rPr>
        <w:t>〕21号）执行，实行定额补贴，含保管费用、轮换价差、利息支出、轮换损耗等，其中小包装粮（大米）补贴标准为839元/吨/年，小包装油补贴标准为1000元/吨/年。市级储备油按照《市发展改革委</w:t>
      </w:r>
      <w:r>
        <w:rPr>
          <w:rFonts w:hint="eastAsia" w:ascii="Times New Roman" w:hAnsi="Times New Roman" w:eastAsia="仿宋_GB2312" w:cs="仿宋_GB2312"/>
          <w:color w:val="000000" w:themeColor="text1"/>
          <w:sz w:val="32"/>
          <w:szCs w:val="32"/>
          <w14:textFill>
            <w14:solidFill>
              <w14:schemeClr w14:val="tx1"/>
            </w14:solidFill>
          </w14:textFill>
        </w:rPr>
        <w:t xml:space="preserve"> </w:t>
      </w:r>
      <w:r>
        <w:rPr>
          <w:rFonts w:hint="eastAsia" w:ascii="Times New Roman" w:hAnsi="Times New Roman" w:eastAsia="仿宋_GB2312" w:cs="仿宋_GB2312"/>
          <w:color w:val="000000" w:themeColor="text1"/>
          <w:sz w:val="32"/>
          <w:szCs w:val="32"/>
          <w:lang w:val="zh-CN"/>
          <w14:textFill>
            <w14:solidFill>
              <w14:schemeClr w14:val="tx1"/>
            </w14:solidFill>
          </w14:textFill>
        </w:rPr>
        <w:t>市财政局</w:t>
      </w:r>
      <w:r>
        <w:rPr>
          <w:rFonts w:hint="eastAsia" w:ascii="Times New Roman" w:hAnsi="Times New Roman" w:eastAsia="仿宋_GB2312" w:cs="仿宋_GB2312"/>
          <w:color w:val="000000" w:themeColor="text1"/>
          <w:sz w:val="32"/>
          <w:szCs w:val="32"/>
          <w14:textFill>
            <w14:solidFill>
              <w14:schemeClr w14:val="tx1"/>
            </w14:solidFill>
          </w14:textFill>
        </w:rPr>
        <w:t xml:space="preserve"> </w:t>
      </w:r>
      <w:r>
        <w:rPr>
          <w:rFonts w:hint="eastAsia" w:ascii="Times New Roman" w:hAnsi="Times New Roman" w:eastAsia="仿宋_GB2312" w:cs="仿宋_GB2312"/>
          <w:color w:val="000000" w:themeColor="text1"/>
          <w:sz w:val="32"/>
          <w:szCs w:val="32"/>
          <w:lang w:val="zh-CN"/>
          <w14:textFill>
            <w14:solidFill>
              <w14:schemeClr w14:val="tx1"/>
            </w14:solidFill>
          </w14:textFill>
        </w:rPr>
        <w:t>市农发行关于下达新增食用植物油储备任务的通知》（攀粮发〔</w:t>
      </w:r>
      <w:r>
        <w:rPr>
          <w:rFonts w:hint="eastAsia" w:ascii="Times New Roman" w:hAnsi="Times New Roman" w:eastAsia="仿宋_GB2312" w:cs="仿宋_GB2312"/>
          <w:color w:val="000000" w:themeColor="text1"/>
          <w:sz w:val="32"/>
          <w:szCs w:val="32"/>
          <w14:textFill>
            <w14:solidFill>
              <w14:schemeClr w14:val="tx1"/>
            </w14:solidFill>
          </w14:textFill>
        </w:rPr>
        <w:t>2023</w:t>
      </w:r>
      <w:r>
        <w:rPr>
          <w:rFonts w:hint="eastAsia" w:ascii="Times New Roman" w:hAnsi="Times New Roman" w:eastAsia="仿宋_GB2312" w:cs="仿宋_GB2312"/>
          <w:color w:val="000000" w:themeColor="text1"/>
          <w:sz w:val="32"/>
          <w:szCs w:val="32"/>
          <w:lang w:val="zh-CN"/>
          <w14:textFill>
            <w14:solidFill>
              <w14:schemeClr w14:val="tx1"/>
            </w14:solidFill>
          </w14:textFill>
        </w:rPr>
        <w:t>〕21号）执行，食用植物油为1000元/吨/年（包括保管费、轮换费和贷款利息）。</w:t>
      </w:r>
    </w:p>
    <w:p w14:paraId="0CCBC297">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eastAsia" w:ascii="Times New Roman" w:hAnsi="Times New Roman" w:eastAsia="仿宋_GB2312" w:cs="仿宋_GB2312"/>
          <w:color w:val="000000" w:themeColor="text1"/>
          <w:sz w:val="32"/>
          <w:szCs w:val="32"/>
          <w:lang w:val="zh-CN"/>
          <w14:textFill>
            <w14:solidFill>
              <w14:schemeClr w14:val="tx1"/>
            </w14:solidFill>
          </w14:textFill>
        </w:rPr>
      </w:pPr>
      <w:r>
        <w:rPr>
          <w:rFonts w:hint="eastAsia" w:ascii="Times New Roman" w:hAnsi="Times New Roman" w:eastAsia="仿宋_GB2312" w:cs="仿宋_GB2312"/>
          <w:color w:val="000000" w:themeColor="text1"/>
          <w:sz w:val="32"/>
          <w:szCs w:val="32"/>
          <w:lang w:val="zh-CN"/>
          <w14:textFill>
            <w14:solidFill>
              <w14:schemeClr w14:val="tx1"/>
            </w14:solidFill>
          </w14:textFill>
        </w:rPr>
        <w:t>第三方质检服务费根据《中华人民共和国粮食安全保障法》《粮食流通管理条例》《四川省粮食安全保障条例》等相关法律法规要求，政策性储备粮油储存期间及轮换出入库均需进行质量安全检测。</w:t>
      </w:r>
    </w:p>
    <w:p w14:paraId="5B2D4393">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eastAsia" w:ascii="Times New Roman" w:hAnsi="Times New Roman" w:eastAsia="仿宋_GB2312" w:cs="仿宋_GB2312"/>
          <w:color w:val="000000" w:themeColor="text1"/>
          <w:sz w:val="32"/>
          <w:szCs w:val="32"/>
          <w:lang w:val="zh-CN"/>
          <w14:textFill>
            <w14:solidFill>
              <w14:schemeClr w14:val="tx1"/>
            </w14:solidFill>
          </w14:textFill>
        </w:rPr>
      </w:pPr>
      <w:r>
        <w:rPr>
          <w:rFonts w:hint="eastAsia" w:ascii="Times New Roman" w:hAnsi="Times New Roman" w:eastAsia="仿宋_GB2312" w:cs="仿宋_GB2312"/>
          <w:color w:val="000000" w:themeColor="text1"/>
          <w:sz w:val="32"/>
          <w:szCs w:val="32"/>
          <w:lang w:val="zh-CN"/>
          <w14:textFill>
            <w14:solidFill>
              <w14:schemeClr w14:val="tx1"/>
            </w14:solidFill>
          </w14:textFill>
        </w:rPr>
        <w:t>3.资金管理办法制定情况，资金支持具体项目的条件、范围与支持方式概况。</w:t>
      </w:r>
      <w:r>
        <w:rPr>
          <w:rFonts w:hint="eastAsia" w:ascii="Times New Roman" w:hAnsi="Times New Roman" w:eastAsia="仿宋_GB2312" w:cs="仿宋_GB2312"/>
          <w:color w:val="000000" w:themeColor="text1"/>
          <w:sz w:val="32"/>
          <w:szCs w:val="32"/>
          <w14:textFill>
            <w14:solidFill>
              <w14:schemeClr w14:val="tx1"/>
            </w14:solidFill>
          </w14:textFill>
        </w:rPr>
        <w:t>市级储备粮资金管理按照《关于印发攀枝花市级储备粮管理（暂行）办法的通知》（攀粮发〔2023〕16号）执行；</w:t>
      </w:r>
      <w:r>
        <w:rPr>
          <w:rFonts w:hint="eastAsia" w:ascii="Times New Roman" w:hAnsi="Times New Roman" w:eastAsia="仿宋_GB2312" w:cs="仿宋_GB2312"/>
          <w:color w:val="000000" w:themeColor="text1"/>
          <w:sz w:val="32"/>
          <w:szCs w:val="32"/>
          <w:lang w:val="zh-CN"/>
          <w14:textFill>
            <w14:solidFill>
              <w14:schemeClr w14:val="tx1"/>
            </w14:solidFill>
          </w14:textFill>
        </w:rPr>
        <w:t>市级储备稻谷储备费用补贴标准按照《关于调整市级储备粮费用标准的通知》（攀财建〔2017〕8号）执行；市级储备小包装粮油储备费用补贴标准按照《关于印发〈攀枝花市本级小包装成品粮油储备管理（暂行）办法〉的通知》（攀粮发〔20</w:t>
      </w:r>
      <w:r>
        <w:rPr>
          <w:rFonts w:hint="eastAsia" w:ascii="Times New Roman" w:hAnsi="Times New Roman" w:eastAsia="仿宋_GB2312" w:cs="仿宋_GB2312"/>
          <w:color w:val="000000" w:themeColor="text1"/>
          <w:sz w:val="32"/>
          <w:szCs w:val="32"/>
          <w14:textFill>
            <w14:solidFill>
              <w14:schemeClr w14:val="tx1"/>
            </w14:solidFill>
          </w14:textFill>
        </w:rPr>
        <w:t>09</w:t>
      </w:r>
      <w:r>
        <w:rPr>
          <w:rFonts w:hint="eastAsia" w:ascii="Times New Roman" w:hAnsi="Times New Roman" w:eastAsia="仿宋_GB2312" w:cs="仿宋_GB2312"/>
          <w:color w:val="000000" w:themeColor="text1"/>
          <w:sz w:val="32"/>
          <w:szCs w:val="32"/>
          <w:lang w:val="zh-CN"/>
          <w14:textFill>
            <w14:solidFill>
              <w14:schemeClr w14:val="tx1"/>
            </w14:solidFill>
          </w14:textFill>
        </w:rPr>
        <w:t>〕21号文）执行。</w:t>
      </w:r>
    </w:p>
    <w:p w14:paraId="25EF09C0">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eastAsia" w:ascii="Times New Roman" w:hAnsi="Times New Roman" w:eastAsia="仿宋_GB2312" w:cs="仿宋_GB2312"/>
          <w:color w:val="000000" w:themeColor="text1"/>
          <w:sz w:val="32"/>
          <w:szCs w:val="32"/>
          <w:lang w:val="zh-CN"/>
          <w14:textFill>
            <w14:solidFill>
              <w14:schemeClr w14:val="tx1"/>
            </w14:solidFill>
          </w14:textFill>
        </w:rPr>
      </w:pPr>
      <w:r>
        <w:rPr>
          <w:rFonts w:hint="eastAsia" w:ascii="Times New Roman" w:hAnsi="Times New Roman" w:eastAsia="仿宋_GB2312" w:cs="仿宋_GB2312"/>
          <w:color w:val="000000" w:themeColor="text1"/>
          <w:sz w:val="32"/>
          <w:szCs w:val="32"/>
          <w:lang w:val="zh-CN"/>
          <w14:textFill>
            <w14:solidFill>
              <w14:schemeClr w14:val="tx1"/>
            </w14:solidFill>
          </w14:textFill>
        </w:rPr>
        <w:t>4.资金分配的原则及考虑因素。储备（轮换）费用资金分配由各市属国有粮食企业（四川攀枝花国家粮食储备库、四川攀枝花大水井粮食省粮食储备库、攀枝花现代农业有限公司、攀枝花密地国家粮食储备库）所承储的政策性储备粮数量、质量决定，经市发展改革委核定数量、质量，确认其满足保管等要求，则按补贴标准申请财政拨款。</w:t>
      </w:r>
    </w:p>
    <w:p w14:paraId="493269C5">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eastAsia" w:ascii="Times New Roman" w:hAnsi="Times New Roman" w:eastAsia="仿宋_GB2312" w:cs="仿宋_GB2312"/>
          <w:color w:val="000000" w:themeColor="text1"/>
          <w:sz w:val="32"/>
          <w:szCs w:val="32"/>
          <w:lang w:val="zh-CN"/>
          <w14:textFill>
            <w14:solidFill>
              <w14:schemeClr w14:val="tx1"/>
            </w14:solidFill>
          </w14:textFill>
        </w:rPr>
      </w:pPr>
      <w:r>
        <w:rPr>
          <w:rFonts w:hint="eastAsia" w:ascii="Times New Roman" w:hAnsi="Times New Roman" w:eastAsia="仿宋_GB2312" w:cs="仿宋_GB2312"/>
          <w:color w:val="000000" w:themeColor="text1"/>
          <w:sz w:val="32"/>
          <w:szCs w:val="32"/>
          <w:lang w:val="zh-CN"/>
          <w14:textFill>
            <w14:solidFill>
              <w14:schemeClr w14:val="tx1"/>
            </w14:solidFill>
          </w14:textFill>
        </w:rPr>
        <w:t>第三方粮食质量检验机构质检服务费由与第三方签订的合同决定，根据全年质检批次</w:t>
      </w:r>
      <w:r>
        <w:rPr>
          <w:rFonts w:hint="eastAsia" w:ascii="Times New Roman" w:hAnsi="Times New Roman" w:eastAsia="仿宋_GB2312" w:cs="仿宋_GB2312"/>
          <w:color w:val="000000" w:themeColor="text1"/>
          <w:sz w:val="32"/>
          <w:szCs w:val="32"/>
          <w14:textFill>
            <w14:solidFill>
              <w14:schemeClr w14:val="tx1"/>
            </w14:solidFill>
          </w14:textFill>
        </w:rPr>
        <w:t>*合同单价计算</w:t>
      </w:r>
      <w:r>
        <w:rPr>
          <w:rFonts w:hint="eastAsia" w:ascii="Times New Roman" w:hAnsi="Times New Roman" w:eastAsia="仿宋_GB2312" w:cs="仿宋_GB2312"/>
          <w:color w:val="000000" w:themeColor="text1"/>
          <w:sz w:val="32"/>
          <w:szCs w:val="32"/>
          <w:lang w:val="zh-CN"/>
          <w14:textFill>
            <w14:solidFill>
              <w14:schemeClr w14:val="tx1"/>
            </w14:solidFill>
          </w14:textFill>
        </w:rPr>
        <w:t>。</w:t>
      </w:r>
    </w:p>
    <w:p w14:paraId="05CD88FF">
      <w:pPr>
        <w:keepNext w:val="0"/>
        <w:keepLines w:val="0"/>
        <w:pageBreakBefore w:val="0"/>
        <w:widowControl/>
        <w:kinsoku/>
        <w:wordWrap/>
        <w:overflowPunct/>
        <w:topLinePunct w:val="0"/>
        <w:autoSpaceDE/>
        <w:autoSpaceDN/>
        <w:bidi w:val="0"/>
        <w:adjustRightInd w:val="0"/>
        <w:snapToGrid w:val="0"/>
        <w:spacing w:line="600" w:lineRule="exact"/>
        <w:ind w:firstLine="643" w:firstLineChars="200"/>
        <w:contextualSpacing/>
        <w:jc w:val="both"/>
        <w:textAlignment w:val="auto"/>
        <w:rPr>
          <w:rFonts w:hint="eastAsia" w:eastAsia="楷体_GB2312" w:cs="楷体_GB2312"/>
          <w:b/>
          <w:color w:val="000000" w:themeColor="text1"/>
          <w:sz w:val="32"/>
          <w:szCs w:val="32"/>
          <w:lang w:val="zh-CN"/>
          <w14:textFill>
            <w14:solidFill>
              <w14:schemeClr w14:val="tx1"/>
            </w14:solidFill>
          </w14:textFill>
        </w:rPr>
      </w:pPr>
      <w:r>
        <w:rPr>
          <w:rFonts w:hint="eastAsia" w:eastAsia="楷体_GB2312" w:cs="楷体_GB2312"/>
          <w:b/>
          <w:color w:val="000000" w:themeColor="text1"/>
          <w:sz w:val="32"/>
          <w:szCs w:val="32"/>
          <w:lang w:val="zh-CN"/>
          <w14:textFill>
            <w14:solidFill>
              <w14:schemeClr w14:val="tx1"/>
            </w14:solidFill>
          </w14:textFill>
        </w:rPr>
        <w:t>（二）项目绩效目标</w:t>
      </w:r>
    </w:p>
    <w:p w14:paraId="6E07F5C3">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eastAsia" w:ascii="Times New Roman" w:hAnsi="Times New Roman" w:eastAsia="仿宋_GB2312" w:cs="仿宋_GB2312"/>
          <w:color w:val="000000" w:themeColor="text1"/>
          <w:sz w:val="32"/>
          <w:szCs w:val="32"/>
          <w:lang w:val="zh-CN"/>
          <w14:textFill>
            <w14:solidFill>
              <w14:schemeClr w14:val="tx1"/>
            </w14:solidFill>
          </w14:textFill>
        </w:rPr>
      </w:pPr>
      <w:r>
        <w:rPr>
          <w:rFonts w:hint="eastAsia" w:ascii="Times New Roman" w:hAnsi="Times New Roman" w:eastAsia="仿宋_GB2312" w:cs="仿宋_GB2312"/>
          <w:color w:val="000000" w:themeColor="text1"/>
          <w:sz w:val="32"/>
          <w:szCs w:val="32"/>
          <w:lang w:val="zh-CN"/>
          <w14:textFill>
            <w14:solidFill>
              <w14:schemeClr w14:val="tx1"/>
            </w14:solidFill>
          </w14:textFill>
        </w:rPr>
        <w:t>1.项目主要内容。</w:t>
      </w:r>
    </w:p>
    <w:p w14:paraId="0984C49D">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eastAsia" w:ascii="Times New Roman" w:hAnsi="Times New Roman" w:eastAsia="仿宋_GB2312" w:cs="仿宋_GB2312"/>
          <w:color w:val="000000" w:themeColor="text1"/>
          <w:sz w:val="32"/>
          <w:szCs w:val="32"/>
          <w14:textFill>
            <w14:solidFill>
              <w14:schemeClr w14:val="tx1"/>
            </w14:solidFill>
          </w14:textFill>
        </w:rPr>
      </w:pPr>
      <w:r>
        <w:rPr>
          <w:rFonts w:hint="eastAsia" w:ascii="Times New Roman" w:hAnsi="Times New Roman" w:eastAsia="仿宋_GB2312" w:cs="仿宋_GB2312"/>
          <w:color w:val="000000" w:themeColor="text1"/>
          <w:sz w:val="32"/>
          <w:szCs w:val="32"/>
          <w:lang w:val="zh-CN"/>
          <w14:textFill>
            <w14:solidFill>
              <w14:schemeClr w14:val="tx1"/>
            </w14:solidFill>
          </w14:textFill>
        </w:rPr>
        <w:t>（</w:t>
      </w:r>
      <w:r>
        <w:rPr>
          <w:rFonts w:hint="eastAsia" w:ascii="Times New Roman" w:hAnsi="Times New Roman" w:eastAsia="仿宋_GB2312" w:cs="仿宋_GB2312"/>
          <w:color w:val="000000" w:themeColor="text1"/>
          <w:sz w:val="32"/>
          <w:szCs w:val="32"/>
          <w14:textFill>
            <w14:solidFill>
              <w14:schemeClr w14:val="tx1"/>
            </w14:solidFill>
          </w14:textFill>
        </w:rPr>
        <w:t>1</w:t>
      </w:r>
      <w:r>
        <w:rPr>
          <w:rFonts w:hint="eastAsia" w:ascii="Times New Roman" w:hAnsi="Times New Roman" w:eastAsia="仿宋_GB2312" w:cs="仿宋_GB2312"/>
          <w:color w:val="000000" w:themeColor="text1"/>
          <w:sz w:val="32"/>
          <w:szCs w:val="32"/>
          <w:lang w:val="zh-CN"/>
          <w14:textFill>
            <w14:solidFill>
              <w14:schemeClr w14:val="tx1"/>
            </w14:solidFill>
          </w14:textFill>
        </w:rPr>
        <w:t>）202</w:t>
      </w:r>
      <w:r>
        <w:rPr>
          <w:rFonts w:hint="eastAsia" w:ascii="Times New Roman" w:hAnsi="Times New Roman" w:eastAsia="仿宋_GB2312" w:cs="仿宋_GB2312"/>
          <w:color w:val="000000" w:themeColor="text1"/>
          <w:sz w:val="32"/>
          <w:szCs w:val="32"/>
          <w14:textFill>
            <w14:solidFill>
              <w14:schemeClr w14:val="tx1"/>
            </w14:solidFill>
          </w14:textFill>
        </w:rPr>
        <w:t>5</w:t>
      </w:r>
      <w:r>
        <w:rPr>
          <w:rFonts w:hint="eastAsia" w:ascii="Times New Roman" w:hAnsi="Times New Roman" w:eastAsia="仿宋_GB2312" w:cs="仿宋_GB2312"/>
          <w:color w:val="000000" w:themeColor="text1"/>
          <w:sz w:val="32"/>
          <w:szCs w:val="32"/>
          <w:lang w:val="zh-CN"/>
          <w14:textFill>
            <w14:solidFill>
              <w14:schemeClr w14:val="tx1"/>
            </w14:solidFill>
          </w14:textFill>
        </w:rPr>
        <w:t>年，四川攀枝花国家粮食储备库承担市级储备稻谷4000吨、小包装粮</w:t>
      </w:r>
      <w:r>
        <w:rPr>
          <w:rFonts w:hint="eastAsia" w:ascii="Times New Roman" w:hAnsi="Times New Roman" w:eastAsia="仿宋_GB2312" w:cs="仿宋_GB2312"/>
          <w:color w:val="000000" w:themeColor="text1"/>
          <w:sz w:val="32"/>
          <w:szCs w:val="32"/>
          <w14:textFill>
            <w14:solidFill>
              <w14:schemeClr w14:val="tx1"/>
            </w14:solidFill>
          </w14:textFill>
        </w:rPr>
        <w:t>1920</w:t>
      </w:r>
      <w:r>
        <w:rPr>
          <w:rFonts w:hint="eastAsia" w:ascii="Times New Roman" w:hAnsi="Times New Roman" w:eastAsia="仿宋_GB2312" w:cs="仿宋_GB2312"/>
          <w:color w:val="000000" w:themeColor="text1"/>
          <w:sz w:val="32"/>
          <w:szCs w:val="32"/>
          <w:lang w:val="zh-CN"/>
          <w14:textFill>
            <w14:solidFill>
              <w14:schemeClr w14:val="tx1"/>
            </w14:solidFill>
          </w14:textFill>
        </w:rPr>
        <w:t>吨，小包装油252吨，其中，202</w:t>
      </w:r>
      <w:r>
        <w:rPr>
          <w:rFonts w:hint="eastAsia" w:ascii="Times New Roman" w:hAnsi="Times New Roman" w:eastAsia="仿宋_GB2312" w:cs="仿宋_GB2312"/>
          <w:color w:val="000000" w:themeColor="text1"/>
          <w:sz w:val="32"/>
          <w:szCs w:val="32"/>
          <w14:textFill>
            <w14:solidFill>
              <w14:schemeClr w14:val="tx1"/>
            </w14:solidFill>
          </w14:textFill>
        </w:rPr>
        <w:t>5</w:t>
      </w:r>
      <w:r>
        <w:rPr>
          <w:rFonts w:hint="eastAsia" w:ascii="Times New Roman" w:hAnsi="Times New Roman" w:eastAsia="仿宋_GB2312" w:cs="仿宋_GB2312"/>
          <w:color w:val="000000" w:themeColor="text1"/>
          <w:sz w:val="32"/>
          <w:szCs w:val="32"/>
          <w:lang w:val="zh-CN"/>
          <w14:textFill>
            <w14:solidFill>
              <w14:schemeClr w14:val="tx1"/>
            </w14:solidFill>
          </w14:textFill>
        </w:rPr>
        <w:t>年度轮换市级储备稻谷1459吨；四川攀枝花大水井粮食省粮食储备库承担市级储备小麦</w:t>
      </w:r>
      <w:r>
        <w:rPr>
          <w:rFonts w:hint="eastAsia" w:ascii="Times New Roman" w:hAnsi="Times New Roman" w:eastAsia="仿宋_GB2312" w:cs="仿宋_GB2312"/>
          <w:color w:val="000000" w:themeColor="text1"/>
          <w:sz w:val="32"/>
          <w:szCs w:val="32"/>
          <w14:textFill>
            <w14:solidFill>
              <w14:schemeClr w14:val="tx1"/>
            </w14:solidFill>
          </w14:textFill>
        </w:rPr>
        <w:t>47</w:t>
      </w:r>
      <w:r>
        <w:rPr>
          <w:rFonts w:hint="eastAsia" w:ascii="Times New Roman" w:hAnsi="Times New Roman" w:eastAsia="仿宋_GB2312" w:cs="仿宋_GB2312"/>
          <w:color w:val="000000" w:themeColor="text1"/>
          <w:sz w:val="32"/>
          <w:szCs w:val="32"/>
          <w:lang w:val="zh-CN"/>
          <w14:textFill>
            <w14:solidFill>
              <w14:schemeClr w14:val="tx1"/>
            </w14:solidFill>
          </w14:textFill>
        </w:rPr>
        <w:t>00吨、小包装粮</w:t>
      </w:r>
      <w:r>
        <w:rPr>
          <w:rFonts w:hint="eastAsia" w:ascii="Times New Roman" w:hAnsi="Times New Roman" w:eastAsia="仿宋_GB2312" w:cs="仿宋_GB2312"/>
          <w:color w:val="000000" w:themeColor="text1"/>
          <w:sz w:val="32"/>
          <w:szCs w:val="32"/>
          <w14:textFill>
            <w14:solidFill>
              <w14:schemeClr w14:val="tx1"/>
            </w14:solidFill>
          </w14:textFill>
        </w:rPr>
        <w:t>1000</w:t>
      </w:r>
      <w:r>
        <w:rPr>
          <w:rFonts w:hint="eastAsia" w:ascii="Times New Roman" w:hAnsi="Times New Roman" w:eastAsia="仿宋_GB2312" w:cs="仿宋_GB2312"/>
          <w:color w:val="000000" w:themeColor="text1"/>
          <w:sz w:val="32"/>
          <w:szCs w:val="32"/>
          <w:lang w:val="zh-CN"/>
          <w14:textFill>
            <w14:solidFill>
              <w14:schemeClr w14:val="tx1"/>
            </w14:solidFill>
          </w14:textFill>
        </w:rPr>
        <w:t>吨，小包装面粉</w:t>
      </w:r>
      <w:r>
        <w:rPr>
          <w:rFonts w:hint="eastAsia" w:ascii="Times New Roman" w:hAnsi="Times New Roman" w:eastAsia="仿宋_GB2312" w:cs="仿宋_GB2312"/>
          <w:color w:val="000000" w:themeColor="text1"/>
          <w:sz w:val="32"/>
          <w:szCs w:val="32"/>
          <w14:textFill>
            <w14:solidFill>
              <w14:schemeClr w14:val="tx1"/>
            </w14:solidFill>
          </w14:textFill>
        </w:rPr>
        <w:t>300吨，</w:t>
      </w:r>
      <w:r>
        <w:rPr>
          <w:rFonts w:hint="eastAsia" w:ascii="Times New Roman" w:hAnsi="Times New Roman" w:eastAsia="仿宋_GB2312" w:cs="仿宋_GB2312"/>
          <w:color w:val="000000" w:themeColor="text1"/>
          <w:sz w:val="32"/>
          <w:szCs w:val="32"/>
          <w:lang w:val="zh-CN"/>
          <w14:textFill>
            <w14:solidFill>
              <w14:schemeClr w14:val="tx1"/>
            </w14:solidFill>
          </w14:textFill>
        </w:rPr>
        <w:t>小包装油</w:t>
      </w:r>
      <w:r>
        <w:rPr>
          <w:rFonts w:hint="eastAsia" w:ascii="Times New Roman" w:hAnsi="Times New Roman" w:eastAsia="仿宋_GB2312" w:cs="仿宋_GB2312"/>
          <w:color w:val="000000" w:themeColor="text1"/>
          <w:sz w:val="32"/>
          <w:szCs w:val="32"/>
          <w14:textFill>
            <w14:solidFill>
              <w14:schemeClr w14:val="tx1"/>
            </w14:solidFill>
          </w14:textFill>
        </w:rPr>
        <w:t>130</w:t>
      </w:r>
      <w:r>
        <w:rPr>
          <w:rFonts w:hint="eastAsia" w:ascii="Times New Roman" w:hAnsi="Times New Roman" w:eastAsia="仿宋_GB2312" w:cs="仿宋_GB2312"/>
          <w:color w:val="000000" w:themeColor="text1"/>
          <w:sz w:val="32"/>
          <w:szCs w:val="32"/>
          <w:lang w:val="zh-CN"/>
          <w14:textFill>
            <w14:solidFill>
              <w14:schemeClr w14:val="tx1"/>
            </w14:solidFill>
          </w14:textFill>
        </w:rPr>
        <w:t>吨，其中，202</w:t>
      </w:r>
      <w:r>
        <w:rPr>
          <w:rFonts w:hint="eastAsia" w:ascii="Times New Roman" w:hAnsi="Times New Roman" w:eastAsia="仿宋_GB2312" w:cs="仿宋_GB2312"/>
          <w:color w:val="000000" w:themeColor="text1"/>
          <w:sz w:val="32"/>
          <w:szCs w:val="32"/>
          <w14:textFill>
            <w14:solidFill>
              <w14:schemeClr w14:val="tx1"/>
            </w14:solidFill>
          </w14:textFill>
        </w:rPr>
        <w:t>5</w:t>
      </w:r>
      <w:r>
        <w:rPr>
          <w:rFonts w:hint="eastAsia" w:ascii="Times New Roman" w:hAnsi="Times New Roman" w:eastAsia="仿宋_GB2312" w:cs="仿宋_GB2312"/>
          <w:color w:val="000000" w:themeColor="text1"/>
          <w:sz w:val="32"/>
          <w:szCs w:val="32"/>
          <w:lang w:val="zh-CN"/>
          <w14:textFill>
            <w14:solidFill>
              <w14:schemeClr w14:val="tx1"/>
            </w14:solidFill>
          </w14:textFill>
        </w:rPr>
        <w:t>年度轮换市级储备小麦</w:t>
      </w:r>
      <w:r>
        <w:rPr>
          <w:rFonts w:hint="eastAsia" w:ascii="Times New Roman" w:hAnsi="Times New Roman" w:eastAsia="仿宋_GB2312" w:cs="仿宋_GB2312"/>
          <w:color w:val="000000" w:themeColor="text1"/>
          <w:sz w:val="32"/>
          <w:szCs w:val="32"/>
          <w14:textFill>
            <w14:solidFill>
              <w14:schemeClr w14:val="tx1"/>
            </w14:solidFill>
          </w14:textFill>
        </w:rPr>
        <w:t>1687.49</w:t>
      </w:r>
      <w:r>
        <w:rPr>
          <w:rFonts w:hint="eastAsia" w:ascii="Times New Roman" w:hAnsi="Times New Roman" w:eastAsia="仿宋_GB2312" w:cs="仿宋_GB2312"/>
          <w:color w:val="000000" w:themeColor="text1"/>
          <w:sz w:val="32"/>
          <w:szCs w:val="32"/>
          <w:lang w:val="zh-CN"/>
          <w14:textFill>
            <w14:solidFill>
              <w14:schemeClr w14:val="tx1"/>
            </w14:solidFill>
          </w14:textFill>
        </w:rPr>
        <w:t>吨；攀枝花密地国家粮食储备库承担市级储备小包装油</w:t>
      </w:r>
      <w:r>
        <w:rPr>
          <w:rFonts w:hint="eastAsia" w:ascii="Times New Roman" w:hAnsi="Times New Roman" w:eastAsia="仿宋_GB2312" w:cs="仿宋_GB2312"/>
          <w:color w:val="000000" w:themeColor="text1"/>
          <w:sz w:val="32"/>
          <w:szCs w:val="32"/>
          <w14:textFill>
            <w14:solidFill>
              <w14:schemeClr w14:val="tx1"/>
            </w14:solidFill>
          </w14:textFill>
        </w:rPr>
        <w:t>218</w:t>
      </w:r>
      <w:r>
        <w:rPr>
          <w:rFonts w:hint="eastAsia" w:ascii="Times New Roman" w:hAnsi="Times New Roman" w:eastAsia="仿宋_GB2312" w:cs="仿宋_GB2312"/>
          <w:color w:val="000000" w:themeColor="text1"/>
          <w:sz w:val="32"/>
          <w:szCs w:val="32"/>
          <w:lang w:val="zh-CN"/>
          <w14:textFill>
            <w14:solidFill>
              <w14:schemeClr w14:val="tx1"/>
            </w14:solidFill>
          </w14:textFill>
        </w:rPr>
        <w:t>吨；攀枝花现代农业有限公司承担市级储备小包装油</w:t>
      </w:r>
      <w:r>
        <w:rPr>
          <w:rFonts w:hint="eastAsia" w:ascii="Times New Roman" w:hAnsi="Times New Roman" w:eastAsia="仿宋_GB2312" w:cs="仿宋_GB2312"/>
          <w:color w:val="000000" w:themeColor="text1"/>
          <w:sz w:val="32"/>
          <w:szCs w:val="32"/>
          <w14:textFill>
            <w14:solidFill>
              <w14:schemeClr w14:val="tx1"/>
            </w14:solidFill>
          </w14:textFill>
        </w:rPr>
        <w:t>500吨，散装植物食用油800吨。</w:t>
      </w:r>
    </w:p>
    <w:p w14:paraId="26BA7956">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eastAsia" w:ascii="Times New Roman" w:hAnsi="Times New Roman" w:eastAsia="仿宋_GB2312" w:cs="仿宋_GB2312"/>
          <w:color w:val="000000" w:themeColor="text1"/>
          <w:sz w:val="32"/>
          <w:szCs w:val="32"/>
          <w14:textFill>
            <w14:solidFill>
              <w14:schemeClr w14:val="tx1"/>
            </w14:solidFill>
          </w14:textFill>
        </w:rPr>
      </w:pPr>
      <w:r>
        <w:rPr>
          <w:rFonts w:hint="eastAsia" w:ascii="Times New Roman" w:hAnsi="Times New Roman" w:eastAsia="仿宋_GB2312" w:cs="仿宋_GB2312"/>
          <w:color w:val="000000" w:themeColor="text1"/>
          <w:sz w:val="32"/>
          <w:szCs w:val="32"/>
          <w14:textFill>
            <w14:solidFill>
              <w14:schemeClr w14:val="tx1"/>
            </w14:solidFill>
          </w14:textFill>
        </w:rPr>
        <w:t>（2）定期对政府储备粮进行质量检验，委托第三方粮食质量检验机构，完成市本级政策性储备粮油（含省级在攀前置储备粮）的质量检验并出具CMA认证《质检报告》约220个批次，确保储备粮食质量良好，杜绝问题粮食流入口粮市场。</w:t>
      </w:r>
    </w:p>
    <w:p w14:paraId="1C824F7E">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eastAsia" w:ascii="Times New Roman" w:hAnsi="Times New Roman" w:eastAsia="仿宋_GB2312" w:cs="仿宋_GB2312"/>
          <w:color w:val="000000" w:themeColor="text1"/>
          <w:sz w:val="32"/>
          <w:szCs w:val="32"/>
          <w:lang w:val="zh-CN"/>
          <w14:textFill>
            <w14:solidFill>
              <w14:schemeClr w14:val="tx1"/>
            </w14:solidFill>
          </w14:textFill>
        </w:rPr>
      </w:pPr>
      <w:r>
        <w:rPr>
          <w:rFonts w:hint="eastAsia" w:ascii="Times New Roman" w:hAnsi="Times New Roman" w:eastAsia="仿宋_GB2312" w:cs="仿宋_GB2312"/>
          <w:color w:val="000000" w:themeColor="text1"/>
          <w:sz w:val="32"/>
          <w:szCs w:val="32"/>
          <w:lang w:val="zh-CN"/>
          <w14:textFill>
            <w14:solidFill>
              <w14:schemeClr w14:val="tx1"/>
            </w14:solidFill>
          </w14:textFill>
        </w:rPr>
        <w:t>2.项目应实现的具体绩效目标。该项目应确保储备粮油数量真实、质量良好、储存安全和管理规范。</w:t>
      </w:r>
    </w:p>
    <w:p w14:paraId="50CA8CBD">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eastAsia" w:ascii="Times New Roman" w:hAnsi="Times New Roman" w:eastAsia="仿宋_GB2312" w:cs="仿宋_GB2312"/>
          <w:color w:val="000000" w:themeColor="text1"/>
          <w:sz w:val="32"/>
          <w:szCs w:val="32"/>
          <w:lang w:val="zh-CN"/>
          <w14:textFill>
            <w14:solidFill>
              <w14:schemeClr w14:val="tx1"/>
            </w14:solidFill>
          </w14:textFill>
        </w:rPr>
      </w:pPr>
      <w:r>
        <w:rPr>
          <w:rFonts w:hint="eastAsia" w:ascii="Times New Roman" w:hAnsi="Times New Roman" w:eastAsia="仿宋_GB2312" w:cs="仿宋_GB2312"/>
          <w:color w:val="000000" w:themeColor="text1"/>
          <w:sz w:val="32"/>
          <w:szCs w:val="32"/>
          <w:lang w:val="zh-CN"/>
          <w14:textFill>
            <w14:solidFill>
              <w14:schemeClr w14:val="tx1"/>
            </w14:solidFill>
          </w14:textFill>
        </w:rPr>
        <w:t>3.该申报内容与实际相符，申报目标合理可行。</w:t>
      </w:r>
    </w:p>
    <w:p w14:paraId="24BF7FFF">
      <w:pPr>
        <w:keepNext w:val="0"/>
        <w:keepLines w:val="0"/>
        <w:pageBreakBefore w:val="0"/>
        <w:widowControl/>
        <w:kinsoku/>
        <w:wordWrap/>
        <w:overflowPunct/>
        <w:topLinePunct w:val="0"/>
        <w:autoSpaceDE/>
        <w:autoSpaceDN/>
        <w:bidi w:val="0"/>
        <w:adjustRightInd w:val="0"/>
        <w:snapToGrid w:val="0"/>
        <w:spacing w:line="600" w:lineRule="exact"/>
        <w:ind w:firstLine="643" w:firstLineChars="200"/>
        <w:contextualSpacing/>
        <w:jc w:val="both"/>
        <w:textAlignment w:val="auto"/>
        <w:rPr>
          <w:rFonts w:hint="eastAsia" w:ascii="Times New Roman" w:hAnsi="Times New Roman" w:eastAsia="仿宋_GB2312" w:cs="仿宋_GB2312"/>
          <w:b/>
          <w:color w:val="000000" w:themeColor="text1"/>
          <w:sz w:val="32"/>
          <w:szCs w:val="32"/>
          <w:lang w:val="zh-CN"/>
          <w14:textFill>
            <w14:solidFill>
              <w14:schemeClr w14:val="tx1"/>
            </w14:solidFill>
          </w14:textFill>
        </w:rPr>
      </w:pPr>
      <w:r>
        <w:rPr>
          <w:rFonts w:hint="eastAsia" w:eastAsia="楷体_GB2312" w:cs="楷体_GB2312"/>
          <w:b/>
          <w:color w:val="000000" w:themeColor="text1"/>
          <w:sz w:val="32"/>
          <w:szCs w:val="32"/>
          <w:lang w:val="zh-CN"/>
          <w14:textFill>
            <w14:solidFill>
              <w14:schemeClr w14:val="tx1"/>
            </w14:solidFill>
          </w14:textFill>
        </w:rPr>
        <w:t>（三）项目自评步骤及方法</w:t>
      </w:r>
    </w:p>
    <w:p w14:paraId="14996843">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eastAsia" w:ascii="Times New Roman" w:hAnsi="Times New Roman" w:eastAsia="仿宋_GB2312" w:cs="仿宋_GB2312"/>
          <w:color w:val="000000" w:themeColor="text1"/>
          <w:sz w:val="32"/>
          <w:szCs w:val="32"/>
          <w:lang w:val="zh-CN"/>
          <w14:textFill>
            <w14:solidFill>
              <w14:schemeClr w14:val="tx1"/>
            </w14:solidFill>
          </w14:textFill>
        </w:rPr>
      </w:pPr>
      <w:r>
        <w:rPr>
          <w:rFonts w:hint="eastAsia" w:ascii="Times New Roman" w:hAnsi="Times New Roman" w:eastAsia="仿宋_GB2312" w:cs="仿宋_GB2312"/>
          <w:color w:val="000000" w:themeColor="text1"/>
          <w:sz w:val="32"/>
          <w:szCs w:val="32"/>
          <w:lang w:val="zh-CN"/>
          <w14:textFill>
            <w14:solidFill>
              <w14:schemeClr w14:val="tx1"/>
            </w14:solidFill>
          </w14:textFill>
        </w:rPr>
        <w:t>202</w:t>
      </w:r>
      <w:r>
        <w:rPr>
          <w:rFonts w:hint="eastAsia" w:ascii="Times New Roman" w:hAnsi="Times New Roman" w:eastAsia="仿宋_GB2312" w:cs="仿宋_GB2312"/>
          <w:color w:val="000000" w:themeColor="text1"/>
          <w:sz w:val="32"/>
          <w:szCs w:val="32"/>
          <w14:textFill>
            <w14:solidFill>
              <w14:schemeClr w14:val="tx1"/>
            </w14:solidFill>
          </w14:textFill>
        </w:rPr>
        <w:t>5</w:t>
      </w:r>
      <w:r>
        <w:rPr>
          <w:rFonts w:hint="eastAsia" w:ascii="Times New Roman" w:hAnsi="Times New Roman" w:eastAsia="仿宋_GB2312" w:cs="仿宋_GB2312"/>
          <w:color w:val="000000" w:themeColor="text1"/>
          <w:sz w:val="32"/>
          <w:szCs w:val="32"/>
          <w:lang w:val="zh-CN"/>
          <w14:textFill>
            <w14:solidFill>
              <w14:schemeClr w14:val="tx1"/>
            </w14:solidFill>
          </w14:textFill>
        </w:rPr>
        <w:t>年政策性粮油储备等费用专项预算项目支出绩效自评工作，由市财政局发文牵头，市发展改革委作为项目主管部门，收到项目绩效自评文件后，市发展改革委立即结合检验监测工作情况及平时掌握企业经营管理情况</w:t>
      </w:r>
      <w:r>
        <w:rPr>
          <w:rFonts w:hint="eastAsia" w:ascii="Times New Roman" w:hAnsi="Times New Roman" w:eastAsia="仿宋_GB2312" w:cs="仿宋_GB2312"/>
          <w:color w:val="000000" w:themeColor="text1"/>
          <w:sz w:val="32"/>
          <w:szCs w:val="32"/>
          <w14:textFill>
            <w14:solidFill>
              <w14:schemeClr w14:val="tx1"/>
            </w14:solidFill>
          </w14:textFill>
        </w:rPr>
        <w:t>，</w:t>
      </w:r>
      <w:r>
        <w:rPr>
          <w:rFonts w:hint="eastAsia" w:ascii="Times New Roman" w:hAnsi="Times New Roman" w:eastAsia="仿宋_GB2312" w:cs="仿宋_GB2312"/>
          <w:color w:val="000000" w:themeColor="text1"/>
          <w:sz w:val="32"/>
          <w:szCs w:val="32"/>
          <w:lang w:val="zh-CN"/>
          <w14:textFill>
            <w14:solidFill>
              <w14:schemeClr w14:val="tx1"/>
            </w14:solidFill>
          </w14:textFill>
        </w:rPr>
        <w:t>梳理</w:t>
      </w:r>
      <w:r>
        <w:rPr>
          <w:rFonts w:hint="eastAsia" w:ascii="Times New Roman" w:hAnsi="Times New Roman" w:eastAsia="仿宋_GB2312" w:cs="仿宋_GB2312"/>
          <w:color w:val="000000" w:themeColor="text1"/>
          <w:sz w:val="32"/>
          <w:szCs w:val="32"/>
          <w14:textFill>
            <w14:solidFill>
              <w14:schemeClr w14:val="tx1"/>
            </w14:solidFill>
          </w14:textFill>
        </w:rPr>
        <w:t>2025</w:t>
      </w:r>
      <w:r>
        <w:rPr>
          <w:rFonts w:hint="eastAsia" w:ascii="Times New Roman" w:hAnsi="Times New Roman" w:eastAsia="仿宋_GB2312" w:cs="仿宋_GB2312"/>
          <w:color w:val="000000" w:themeColor="text1"/>
          <w:sz w:val="32"/>
          <w:szCs w:val="32"/>
          <w:lang w:val="zh-CN"/>
          <w14:textFill>
            <w14:solidFill>
              <w14:schemeClr w14:val="tx1"/>
            </w14:solidFill>
          </w14:textFill>
        </w:rPr>
        <w:t>年政策性粮油储备等费用专项预算项目支出绩效自评工作，</w:t>
      </w:r>
      <w:r>
        <w:rPr>
          <w:rFonts w:hint="eastAsia" w:ascii="Times New Roman" w:hAnsi="Times New Roman" w:eastAsia="仿宋_GB2312" w:cs="仿宋_GB2312"/>
          <w:color w:val="000000" w:themeColor="text1"/>
          <w:sz w:val="32"/>
          <w:szCs w:val="32"/>
          <w14:textFill>
            <w14:solidFill>
              <w14:schemeClr w14:val="tx1"/>
            </w14:solidFill>
          </w14:textFill>
        </w:rPr>
        <w:t>并</w:t>
      </w:r>
      <w:r>
        <w:rPr>
          <w:rFonts w:hint="eastAsia" w:ascii="Times New Roman" w:hAnsi="Times New Roman" w:eastAsia="仿宋_GB2312" w:cs="仿宋_GB2312"/>
          <w:color w:val="000000" w:themeColor="text1"/>
          <w:sz w:val="32"/>
          <w:szCs w:val="32"/>
          <w:lang w:val="zh-CN"/>
          <w14:textFill>
            <w14:solidFill>
              <w14:schemeClr w14:val="tx1"/>
            </w14:solidFill>
          </w14:textFill>
        </w:rPr>
        <w:t>进行自评打分（自评打分：</w:t>
      </w:r>
      <w:r>
        <w:rPr>
          <w:rFonts w:hint="eastAsia" w:ascii="Times New Roman" w:hAnsi="Times New Roman" w:eastAsia="仿宋_GB2312" w:cs="仿宋_GB2312"/>
          <w:color w:val="000000" w:themeColor="text1"/>
          <w:sz w:val="32"/>
          <w:szCs w:val="32"/>
          <w14:textFill>
            <w14:solidFill>
              <w14:schemeClr w14:val="tx1"/>
            </w14:solidFill>
          </w14:textFill>
        </w:rPr>
        <w:t>100分</w:t>
      </w:r>
      <w:r>
        <w:rPr>
          <w:rFonts w:hint="eastAsia" w:ascii="Times New Roman" w:hAnsi="Times New Roman" w:eastAsia="仿宋_GB2312" w:cs="仿宋_GB2312"/>
          <w:color w:val="000000" w:themeColor="text1"/>
          <w:sz w:val="32"/>
          <w:szCs w:val="32"/>
          <w:lang w:val="zh-CN"/>
          <w14:textFill>
            <w14:solidFill>
              <w14:schemeClr w14:val="tx1"/>
            </w14:solidFill>
          </w14:textFill>
        </w:rPr>
        <w:t>），并向市财政局函送项目绩效自评工作函。</w:t>
      </w:r>
    </w:p>
    <w:p w14:paraId="56C952BF">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eastAsia" w:ascii="黑体" w:hAnsi="黑体" w:eastAsia="黑体" w:cs="黑体"/>
          <w:color w:val="000000" w:themeColor="text1"/>
          <w:sz w:val="32"/>
          <w:szCs w:val="32"/>
          <w14:textFill>
            <w14:solidFill>
              <w14:schemeClr w14:val="tx1"/>
            </w14:solidFill>
          </w14:textFill>
        </w:rPr>
      </w:pPr>
      <w:r>
        <w:rPr>
          <w:rFonts w:hint="eastAsia" w:ascii="黑体" w:hAnsi="黑体" w:eastAsia="黑体" w:cs="黑体"/>
          <w:color w:val="000000" w:themeColor="text1"/>
          <w:sz w:val="32"/>
          <w:szCs w:val="32"/>
          <w14:textFill>
            <w14:solidFill>
              <w14:schemeClr w14:val="tx1"/>
            </w14:solidFill>
          </w14:textFill>
        </w:rPr>
        <w:t>二、项目资金申报及使用情况</w:t>
      </w:r>
    </w:p>
    <w:p w14:paraId="5B2EBD59">
      <w:pPr>
        <w:keepNext w:val="0"/>
        <w:keepLines w:val="0"/>
        <w:pageBreakBefore w:val="0"/>
        <w:widowControl/>
        <w:kinsoku/>
        <w:wordWrap/>
        <w:overflowPunct/>
        <w:topLinePunct w:val="0"/>
        <w:autoSpaceDE/>
        <w:autoSpaceDN/>
        <w:bidi w:val="0"/>
        <w:adjustRightInd w:val="0"/>
        <w:snapToGrid w:val="0"/>
        <w:spacing w:line="600" w:lineRule="exact"/>
        <w:ind w:firstLine="643" w:firstLineChars="200"/>
        <w:contextualSpacing/>
        <w:jc w:val="both"/>
        <w:textAlignment w:val="auto"/>
        <w:rPr>
          <w:rFonts w:hint="eastAsia" w:eastAsia="楷体_GB2312" w:cs="楷体_GB2312"/>
          <w:b/>
          <w:color w:val="000000" w:themeColor="text1"/>
          <w:sz w:val="32"/>
          <w:szCs w:val="32"/>
          <w:lang w:val="zh-CN"/>
          <w14:textFill>
            <w14:solidFill>
              <w14:schemeClr w14:val="tx1"/>
            </w14:solidFill>
          </w14:textFill>
        </w:rPr>
      </w:pPr>
      <w:r>
        <w:rPr>
          <w:rFonts w:hint="eastAsia" w:eastAsia="楷体_GB2312" w:cs="楷体_GB2312"/>
          <w:b/>
          <w:color w:val="000000" w:themeColor="text1"/>
          <w:sz w:val="32"/>
          <w:szCs w:val="32"/>
          <w:lang w:val="zh-CN"/>
          <w14:textFill>
            <w14:solidFill>
              <w14:schemeClr w14:val="tx1"/>
            </w14:solidFill>
          </w14:textFill>
        </w:rPr>
        <w:t>（一）项目资金申报及批复情况</w:t>
      </w:r>
    </w:p>
    <w:p w14:paraId="1C5B393A">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eastAsia" w:ascii="Times New Roman" w:hAnsi="Times New Roman" w:eastAsia="仿宋_GB2312" w:cs="仿宋_GB2312"/>
          <w:color w:val="000000" w:themeColor="text1"/>
          <w:sz w:val="32"/>
          <w:szCs w:val="32"/>
          <w:lang w:val="zh-CN"/>
          <w14:textFill>
            <w14:solidFill>
              <w14:schemeClr w14:val="tx1"/>
            </w14:solidFill>
          </w14:textFill>
        </w:rPr>
      </w:pPr>
      <w:r>
        <w:rPr>
          <w:rFonts w:hint="eastAsia" w:ascii="Times New Roman" w:hAnsi="Times New Roman" w:eastAsia="仿宋_GB2312" w:cs="仿宋_GB2312"/>
          <w:color w:val="000000" w:themeColor="text1"/>
          <w:sz w:val="32"/>
          <w:szCs w:val="32"/>
          <w:lang w:val="zh-CN"/>
          <w14:textFill>
            <w14:solidFill>
              <w14:schemeClr w14:val="tx1"/>
            </w14:solidFill>
          </w14:textFill>
        </w:rPr>
        <w:t>市级储备粮油补贴费用由</w:t>
      </w:r>
      <w:r>
        <w:rPr>
          <w:rFonts w:hint="eastAsia" w:ascii="Times New Roman" w:hAnsi="Times New Roman" w:eastAsia="仿宋_GB2312" w:cs="仿宋_GB2312"/>
          <w:color w:val="000000" w:themeColor="text1"/>
          <w:sz w:val="32"/>
          <w:szCs w:val="32"/>
          <w14:textFill>
            <w14:solidFill>
              <w14:schemeClr w14:val="tx1"/>
            </w14:solidFill>
          </w14:textFill>
        </w:rPr>
        <w:t>4家市属国有粮食企业按季度</w:t>
      </w:r>
      <w:r>
        <w:rPr>
          <w:rFonts w:hint="eastAsia" w:ascii="Times New Roman" w:hAnsi="Times New Roman" w:eastAsia="仿宋_GB2312" w:cs="仿宋_GB2312"/>
          <w:color w:val="000000" w:themeColor="text1"/>
          <w:sz w:val="32"/>
          <w:szCs w:val="32"/>
          <w:lang w:val="zh-CN"/>
          <w14:textFill>
            <w14:solidFill>
              <w14:schemeClr w14:val="tx1"/>
            </w14:solidFill>
          </w14:textFill>
        </w:rPr>
        <w:t>向市发展改革委提交《攀枝花市级储备粮油储备费用申请表》，市发展改革委按表单及实际储存数据核实政策性储备粮油数量、质量，在确认储备粮油满足承储要求后，向市财政局申请拨付费用，并由市财政局向承储企业下达费用拨付文件。</w:t>
      </w:r>
    </w:p>
    <w:p w14:paraId="667F03E6">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eastAsia" w:ascii="Times New Roman" w:hAnsi="Times New Roman" w:eastAsia="仿宋_GB2312" w:cs="仿宋_GB2312"/>
          <w:color w:val="000000" w:themeColor="text1"/>
          <w:sz w:val="32"/>
          <w:szCs w:val="32"/>
          <w14:textFill>
            <w14:solidFill>
              <w14:schemeClr w14:val="tx1"/>
            </w14:solidFill>
          </w14:textFill>
        </w:rPr>
      </w:pPr>
      <w:r>
        <w:rPr>
          <w:rFonts w:hint="eastAsia" w:ascii="Times New Roman" w:hAnsi="Times New Roman" w:eastAsia="仿宋_GB2312" w:cs="仿宋_GB2312"/>
          <w:color w:val="000000" w:themeColor="text1"/>
          <w:sz w:val="32"/>
          <w:szCs w:val="32"/>
          <w14:textFill>
            <w14:solidFill>
              <w14:schemeClr w14:val="tx1"/>
            </w14:solidFill>
          </w14:textFill>
        </w:rPr>
        <w:t>《关于下达市级粮食风险基金的通知》</w:t>
      </w:r>
      <w:r>
        <w:rPr>
          <w:rFonts w:hint="eastAsia" w:ascii="Times New Roman" w:hAnsi="Times New Roman" w:eastAsia="仿宋_GB2312" w:cs="仿宋_GB2312"/>
          <w:color w:val="000000" w:themeColor="text1"/>
          <w:sz w:val="32"/>
          <w:szCs w:val="32"/>
          <w:lang w:val="zh-CN"/>
          <w14:textFill>
            <w14:solidFill>
              <w14:schemeClr w14:val="tx1"/>
            </w14:solidFill>
          </w14:textFill>
        </w:rPr>
        <w:t>（攀财资投〔2025〕</w:t>
      </w:r>
      <w:r>
        <w:rPr>
          <w:rFonts w:hint="eastAsia" w:ascii="Times New Roman" w:hAnsi="Times New Roman" w:eastAsia="仿宋_GB2312" w:cs="仿宋_GB2312"/>
          <w:color w:val="000000" w:themeColor="text1"/>
          <w:sz w:val="32"/>
          <w:szCs w:val="32"/>
          <w14:textFill>
            <w14:solidFill>
              <w14:schemeClr w14:val="tx1"/>
            </w14:solidFill>
          </w14:textFill>
        </w:rPr>
        <w:t>44</w:t>
      </w:r>
      <w:r>
        <w:rPr>
          <w:rFonts w:hint="eastAsia" w:ascii="Times New Roman" w:hAnsi="Times New Roman" w:eastAsia="仿宋_GB2312" w:cs="仿宋_GB2312"/>
          <w:color w:val="000000" w:themeColor="text1"/>
          <w:sz w:val="32"/>
          <w:szCs w:val="32"/>
          <w:lang w:val="zh-CN"/>
          <w14:textFill>
            <w14:solidFill>
              <w14:schemeClr w14:val="tx1"/>
            </w14:solidFill>
          </w14:textFill>
        </w:rPr>
        <w:t>号）—</w:t>
      </w:r>
      <w:r>
        <w:rPr>
          <w:rFonts w:hint="eastAsia" w:ascii="Times New Roman" w:hAnsi="Times New Roman" w:eastAsia="仿宋_GB2312" w:cs="仿宋_GB2312"/>
          <w:color w:val="000000" w:themeColor="text1"/>
          <w:sz w:val="32"/>
          <w:szCs w:val="32"/>
          <w14:textFill>
            <w14:solidFill>
              <w14:schemeClr w14:val="tx1"/>
            </w14:solidFill>
          </w14:textFill>
        </w:rPr>
        <w:t>220.83万元涉及2025年第三季度、第四季度储备费用拨付，市发展改革委向市财政局函送《</w:t>
      </w:r>
      <w:r>
        <w:rPr>
          <w:rFonts w:hint="eastAsia" w:ascii="Times New Roman" w:hAnsi="Times New Roman" w:eastAsia="仿宋_GB2312" w:cs="仿宋_GB2312"/>
          <w:color w:val="000000" w:themeColor="text1"/>
          <w:sz w:val="32"/>
          <w:szCs w:val="32"/>
          <w:lang w:val="zh-CN"/>
          <w14:textFill>
            <w14:solidFill>
              <w14:schemeClr w14:val="tx1"/>
            </w14:solidFill>
          </w14:textFill>
        </w:rPr>
        <w:t>攀枝花市发展和改革委员会关于申请拨202</w:t>
      </w:r>
      <w:r>
        <w:rPr>
          <w:rFonts w:hint="eastAsia" w:ascii="Times New Roman" w:hAnsi="Times New Roman" w:eastAsia="仿宋_GB2312" w:cs="仿宋_GB2312"/>
          <w:color w:val="000000" w:themeColor="text1"/>
          <w:sz w:val="32"/>
          <w:szCs w:val="32"/>
          <w14:textFill>
            <w14:solidFill>
              <w14:schemeClr w14:val="tx1"/>
            </w14:solidFill>
          </w14:textFill>
        </w:rPr>
        <w:t>5</w:t>
      </w:r>
      <w:r>
        <w:rPr>
          <w:rFonts w:hint="eastAsia" w:ascii="Times New Roman" w:hAnsi="Times New Roman" w:eastAsia="仿宋_GB2312" w:cs="仿宋_GB2312"/>
          <w:color w:val="000000" w:themeColor="text1"/>
          <w:sz w:val="32"/>
          <w:szCs w:val="32"/>
          <w:lang w:val="zh-CN"/>
          <w14:textFill>
            <w14:solidFill>
              <w14:schemeClr w14:val="tx1"/>
            </w14:solidFill>
          </w14:textFill>
        </w:rPr>
        <w:t>年度第</w:t>
      </w:r>
      <w:r>
        <w:rPr>
          <w:rFonts w:hint="eastAsia" w:ascii="Times New Roman" w:hAnsi="Times New Roman" w:eastAsia="仿宋_GB2312" w:cs="仿宋_GB2312"/>
          <w:color w:val="000000" w:themeColor="text1"/>
          <w:sz w:val="32"/>
          <w:szCs w:val="32"/>
          <w14:textFill>
            <w14:solidFill>
              <w14:schemeClr w14:val="tx1"/>
            </w14:solidFill>
          </w14:textFill>
        </w:rPr>
        <w:t>3</w:t>
      </w:r>
      <w:r>
        <w:rPr>
          <w:rFonts w:hint="eastAsia" w:ascii="Times New Roman" w:hAnsi="Times New Roman" w:eastAsia="仿宋_GB2312" w:cs="仿宋_GB2312"/>
          <w:color w:val="000000" w:themeColor="text1"/>
          <w:sz w:val="32"/>
          <w:szCs w:val="32"/>
          <w:lang w:val="zh-CN"/>
          <w14:textFill>
            <w14:solidFill>
              <w14:schemeClr w14:val="tx1"/>
            </w14:solidFill>
          </w14:textFill>
        </w:rPr>
        <w:t>季度市级储备粮油储备费用的函</w:t>
      </w:r>
      <w:r>
        <w:rPr>
          <w:rFonts w:hint="eastAsia" w:ascii="Times New Roman" w:hAnsi="Times New Roman" w:eastAsia="仿宋_GB2312" w:cs="仿宋_GB2312"/>
          <w:color w:val="000000" w:themeColor="text1"/>
          <w:sz w:val="32"/>
          <w:szCs w:val="32"/>
          <w14:textFill>
            <w14:solidFill>
              <w14:schemeClr w14:val="tx1"/>
            </w14:solidFill>
          </w14:textFill>
        </w:rPr>
        <w:t>》</w:t>
      </w:r>
      <w:r>
        <w:rPr>
          <w:rFonts w:hint="eastAsia" w:ascii="Times New Roman" w:hAnsi="Times New Roman" w:eastAsia="仿宋_GB2312" w:cs="仿宋_GB2312"/>
          <w:color w:val="000000" w:themeColor="text1"/>
          <w:sz w:val="32"/>
          <w:szCs w:val="32"/>
          <w:lang w:val="zh-CN"/>
          <w14:textFill>
            <w14:solidFill>
              <w14:schemeClr w14:val="tx1"/>
            </w14:solidFill>
          </w14:textFill>
        </w:rPr>
        <w:t>（攀发改函〔202</w:t>
      </w:r>
      <w:r>
        <w:rPr>
          <w:rFonts w:hint="eastAsia" w:ascii="Times New Roman" w:hAnsi="Times New Roman" w:eastAsia="仿宋_GB2312" w:cs="仿宋_GB2312"/>
          <w:color w:val="000000" w:themeColor="text1"/>
          <w:sz w:val="32"/>
          <w:szCs w:val="32"/>
          <w14:textFill>
            <w14:solidFill>
              <w14:schemeClr w14:val="tx1"/>
            </w14:solidFill>
          </w14:textFill>
        </w:rPr>
        <w:t>5</w:t>
      </w:r>
      <w:r>
        <w:rPr>
          <w:rFonts w:hint="eastAsia" w:ascii="Times New Roman" w:hAnsi="Times New Roman" w:eastAsia="仿宋_GB2312" w:cs="仿宋_GB2312"/>
          <w:color w:val="000000" w:themeColor="text1"/>
          <w:sz w:val="32"/>
          <w:szCs w:val="32"/>
          <w:lang w:val="zh-CN"/>
          <w14:textFill>
            <w14:solidFill>
              <w14:schemeClr w14:val="tx1"/>
            </w14:solidFill>
          </w14:textFill>
        </w:rPr>
        <w:t>〕</w:t>
      </w:r>
      <w:r>
        <w:rPr>
          <w:rFonts w:hint="eastAsia" w:ascii="Times New Roman" w:hAnsi="Times New Roman" w:eastAsia="仿宋_GB2312" w:cs="仿宋_GB2312"/>
          <w:color w:val="000000" w:themeColor="text1"/>
          <w:sz w:val="32"/>
          <w:szCs w:val="32"/>
          <w14:textFill>
            <w14:solidFill>
              <w14:schemeClr w14:val="tx1"/>
            </w14:solidFill>
          </w14:textFill>
        </w:rPr>
        <w:t>81</w:t>
      </w:r>
      <w:r>
        <w:rPr>
          <w:rFonts w:hint="eastAsia" w:ascii="Times New Roman" w:hAnsi="Times New Roman" w:eastAsia="仿宋_GB2312" w:cs="仿宋_GB2312"/>
          <w:color w:val="000000" w:themeColor="text1"/>
          <w:sz w:val="32"/>
          <w:szCs w:val="32"/>
          <w:lang w:val="zh-CN"/>
          <w14:textFill>
            <w14:solidFill>
              <w14:schemeClr w14:val="tx1"/>
            </w14:solidFill>
          </w14:textFill>
        </w:rPr>
        <w:t>号）、</w:t>
      </w:r>
      <w:r>
        <w:rPr>
          <w:rFonts w:hint="eastAsia" w:ascii="Times New Roman" w:hAnsi="Times New Roman" w:eastAsia="仿宋_GB2312" w:cs="仿宋_GB2312"/>
          <w:color w:val="000000" w:themeColor="text1"/>
          <w:sz w:val="32"/>
          <w:szCs w:val="32"/>
          <w14:textFill>
            <w14:solidFill>
              <w14:schemeClr w14:val="tx1"/>
            </w14:solidFill>
          </w14:textFill>
        </w:rPr>
        <w:t>《</w:t>
      </w:r>
      <w:r>
        <w:rPr>
          <w:rFonts w:hint="eastAsia" w:ascii="Times New Roman" w:hAnsi="Times New Roman" w:eastAsia="仿宋_GB2312" w:cs="仿宋_GB2312"/>
          <w:color w:val="000000" w:themeColor="text1"/>
          <w:sz w:val="32"/>
          <w:szCs w:val="32"/>
          <w:lang w:val="zh-CN"/>
          <w14:textFill>
            <w14:solidFill>
              <w14:schemeClr w14:val="tx1"/>
            </w14:solidFill>
          </w14:textFill>
        </w:rPr>
        <w:t>攀枝花市发展和改革委员会关于申请拨202</w:t>
      </w:r>
      <w:r>
        <w:rPr>
          <w:rFonts w:hint="eastAsia" w:ascii="Times New Roman" w:hAnsi="Times New Roman" w:eastAsia="仿宋_GB2312" w:cs="仿宋_GB2312"/>
          <w:color w:val="000000" w:themeColor="text1"/>
          <w:sz w:val="32"/>
          <w:szCs w:val="32"/>
          <w14:textFill>
            <w14:solidFill>
              <w14:schemeClr w14:val="tx1"/>
            </w14:solidFill>
          </w14:textFill>
        </w:rPr>
        <w:t>5</w:t>
      </w:r>
      <w:r>
        <w:rPr>
          <w:rFonts w:hint="eastAsia" w:ascii="Times New Roman" w:hAnsi="Times New Roman" w:eastAsia="仿宋_GB2312" w:cs="仿宋_GB2312"/>
          <w:color w:val="000000" w:themeColor="text1"/>
          <w:sz w:val="32"/>
          <w:szCs w:val="32"/>
          <w:lang w:val="zh-CN"/>
          <w14:textFill>
            <w14:solidFill>
              <w14:schemeClr w14:val="tx1"/>
            </w14:solidFill>
          </w14:textFill>
        </w:rPr>
        <w:t>年度第</w:t>
      </w:r>
      <w:r>
        <w:rPr>
          <w:rFonts w:hint="eastAsia" w:ascii="Times New Roman" w:hAnsi="Times New Roman" w:eastAsia="仿宋_GB2312" w:cs="仿宋_GB2312"/>
          <w:color w:val="000000" w:themeColor="text1"/>
          <w:sz w:val="32"/>
          <w:szCs w:val="32"/>
          <w14:textFill>
            <w14:solidFill>
              <w14:schemeClr w14:val="tx1"/>
            </w14:solidFill>
          </w14:textFill>
        </w:rPr>
        <w:t>4</w:t>
      </w:r>
      <w:r>
        <w:rPr>
          <w:rFonts w:hint="eastAsia" w:ascii="Times New Roman" w:hAnsi="Times New Roman" w:eastAsia="仿宋_GB2312" w:cs="仿宋_GB2312"/>
          <w:color w:val="000000" w:themeColor="text1"/>
          <w:sz w:val="32"/>
          <w:szCs w:val="32"/>
          <w:lang w:val="zh-CN"/>
          <w14:textFill>
            <w14:solidFill>
              <w14:schemeClr w14:val="tx1"/>
            </w14:solidFill>
          </w14:textFill>
        </w:rPr>
        <w:t>季度市级储备粮油储备费用的函</w:t>
      </w:r>
      <w:r>
        <w:rPr>
          <w:rFonts w:hint="eastAsia" w:ascii="Times New Roman" w:hAnsi="Times New Roman" w:eastAsia="仿宋_GB2312" w:cs="仿宋_GB2312"/>
          <w:color w:val="000000" w:themeColor="text1"/>
          <w:sz w:val="32"/>
          <w:szCs w:val="32"/>
          <w14:textFill>
            <w14:solidFill>
              <w14:schemeClr w14:val="tx1"/>
            </w14:solidFill>
          </w14:textFill>
        </w:rPr>
        <w:t>》</w:t>
      </w:r>
      <w:r>
        <w:rPr>
          <w:rFonts w:hint="eastAsia" w:ascii="Times New Roman" w:hAnsi="Times New Roman" w:eastAsia="仿宋_GB2312" w:cs="仿宋_GB2312"/>
          <w:color w:val="000000" w:themeColor="text1"/>
          <w:sz w:val="32"/>
          <w:szCs w:val="32"/>
          <w:lang w:val="zh-CN"/>
          <w14:textFill>
            <w14:solidFill>
              <w14:schemeClr w14:val="tx1"/>
            </w14:solidFill>
          </w14:textFill>
        </w:rPr>
        <w:t>（攀发改函〔202</w:t>
      </w:r>
      <w:r>
        <w:rPr>
          <w:rFonts w:hint="eastAsia" w:ascii="Times New Roman" w:hAnsi="Times New Roman" w:eastAsia="仿宋_GB2312" w:cs="仿宋_GB2312"/>
          <w:color w:val="000000" w:themeColor="text1"/>
          <w:sz w:val="32"/>
          <w:szCs w:val="32"/>
          <w14:textFill>
            <w14:solidFill>
              <w14:schemeClr w14:val="tx1"/>
            </w14:solidFill>
          </w14:textFill>
        </w:rPr>
        <w:t>5</w:t>
      </w:r>
      <w:r>
        <w:rPr>
          <w:rFonts w:hint="eastAsia" w:ascii="Times New Roman" w:hAnsi="Times New Roman" w:eastAsia="仿宋_GB2312" w:cs="仿宋_GB2312"/>
          <w:color w:val="000000" w:themeColor="text1"/>
          <w:sz w:val="32"/>
          <w:szCs w:val="32"/>
          <w:lang w:val="zh-CN"/>
          <w14:textFill>
            <w14:solidFill>
              <w14:schemeClr w14:val="tx1"/>
            </w14:solidFill>
          </w14:textFill>
        </w:rPr>
        <w:t>〕</w:t>
      </w:r>
      <w:r>
        <w:rPr>
          <w:rFonts w:hint="eastAsia" w:ascii="Times New Roman" w:hAnsi="Times New Roman" w:eastAsia="仿宋_GB2312" w:cs="仿宋_GB2312"/>
          <w:color w:val="000000" w:themeColor="text1"/>
          <w:sz w:val="32"/>
          <w:szCs w:val="32"/>
          <w14:textFill>
            <w14:solidFill>
              <w14:schemeClr w14:val="tx1"/>
            </w14:solidFill>
          </w14:textFill>
        </w:rPr>
        <w:t>85</w:t>
      </w:r>
      <w:r>
        <w:rPr>
          <w:rFonts w:hint="eastAsia" w:ascii="Times New Roman" w:hAnsi="Times New Roman" w:eastAsia="仿宋_GB2312" w:cs="仿宋_GB2312"/>
          <w:color w:val="000000" w:themeColor="text1"/>
          <w:sz w:val="32"/>
          <w:szCs w:val="32"/>
          <w:lang w:val="zh-CN"/>
          <w14:textFill>
            <w14:solidFill>
              <w14:schemeClr w14:val="tx1"/>
            </w14:solidFill>
          </w14:textFill>
        </w:rPr>
        <w:t>号）</w:t>
      </w:r>
      <w:r>
        <w:rPr>
          <w:rFonts w:hint="eastAsia" w:ascii="Times New Roman" w:hAnsi="Times New Roman" w:eastAsia="仿宋_GB2312" w:cs="仿宋_GB2312"/>
          <w:color w:val="000000" w:themeColor="text1"/>
          <w:sz w:val="32"/>
          <w:szCs w:val="32"/>
          <w14:textFill>
            <w14:solidFill>
              <w14:schemeClr w14:val="tx1"/>
            </w14:solidFill>
          </w14:textFill>
        </w:rPr>
        <w:t>文件，由</w:t>
      </w:r>
      <w:r>
        <w:rPr>
          <w:rFonts w:hint="eastAsia" w:ascii="Times New Roman" w:hAnsi="Times New Roman" w:eastAsia="仿宋_GB2312" w:cs="仿宋_GB2312"/>
          <w:color w:val="000000" w:themeColor="text1"/>
          <w:sz w:val="32"/>
          <w:szCs w:val="32"/>
          <w:lang w:val="zh-CN"/>
          <w14:textFill>
            <w14:solidFill>
              <w14:schemeClr w14:val="tx1"/>
            </w14:solidFill>
          </w14:textFill>
        </w:rPr>
        <w:t>市财政局同意后向承储企业下达费用</w:t>
      </w:r>
      <w:r>
        <w:rPr>
          <w:rFonts w:hint="eastAsia" w:ascii="Times New Roman" w:hAnsi="Times New Roman" w:eastAsia="仿宋_GB2312" w:cs="仿宋_GB2312"/>
          <w:color w:val="000000" w:themeColor="text1"/>
          <w:sz w:val="32"/>
          <w:szCs w:val="32"/>
          <w14:textFill>
            <w14:solidFill>
              <w14:schemeClr w14:val="tx1"/>
            </w14:solidFill>
          </w14:textFill>
        </w:rPr>
        <w:t>326.34万元（</w:t>
      </w:r>
      <w:r>
        <w:rPr>
          <w:rFonts w:hint="eastAsia" w:ascii="Times New Roman" w:hAnsi="Times New Roman" w:eastAsia="仿宋_GB2312" w:cs="仿宋_GB2312"/>
          <w:color w:val="000000" w:themeColor="text1"/>
          <w:sz w:val="32"/>
          <w:szCs w:val="32"/>
          <w:lang w:val="zh-CN"/>
          <w14:textFill>
            <w14:solidFill>
              <w14:schemeClr w14:val="tx1"/>
            </w14:solidFill>
          </w14:textFill>
        </w:rPr>
        <w:t>其中第</w:t>
      </w:r>
      <w:r>
        <w:rPr>
          <w:rFonts w:hint="eastAsia" w:ascii="Times New Roman" w:hAnsi="Times New Roman" w:eastAsia="仿宋_GB2312" w:cs="仿宋_GB2312"/>
          <w:color w:val="000000" w:themeColor="text1"/>
          <w:sz w:val="32"/>
          <w:szCs w:val="32"/>
          <w14:textFill>
            <w14:solidFill>
              <w14:schemeClr w14:val="tx1"/>
            </w14:solidFill>
          </w14:textFill>
        </w:rPr>
        <w:t>3</w:t>
      </w:r>
      <w:r>
        <w:rPr>
          <w:rFonts w:hint="eastAsia" w:ascii="Times New Roman" w:hAnsi="Times New Roman" w:eastAsia="仿宋_GB2312" w:cs="仿宋_GB2312"/>
          <w:color w:val="000000" w:themeColor="text1"/>
          <w:sz w:val="32"/>
          <w:szCs w:val="32"/>
          <w:lang w:val="zh-CN"/>
          <w14:textFill>
            <w14:solidFill>
              <w14:schemeClr w14:val="tx1"/>
            </w14:solidFill>
          </w14:textFill>
        </w:rPr>
        <w:t>季度</w:t>
      </w:r>
      <w:r>
        <w:rPr>
          <w:rFonts w:hint="eastAsia" w:ascii="Times New Roman" w:hAnsi="Times New Roman" w:eastAsia="仿宋_GB2312" w:cs="仿宋_GB2312"/>
          <w:color w:val="000000" w:themeColor="text1"/>
          <w:sz w:val="32"/>
          <w:szCs w:val="32"/>
          <w14:textFill>
            <w14:solidFill>
              <w14:schemeClr w14:val="tx1"/>
            </w14:solidFill>
          </w14:textFill>
        </w:rPr>
        <w:t>178.67万元，第4季度147.67万元，不足部分由攀枝花市粮食风险基金支付）。</w:t>
      </w:r>
    </w:p>
    <w:p w14:paraId="7F29B5AC">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eastAsia" w:ascii="Times New Roman" w:hAnsi="Times New Roman" w:eastAsia="仿宋_GB2312" w:cs="仿宋_GB2312"/>
          <w:color w:val="000000" w:themeColor="text1"/>
          <w:sz w:val="32"/>
          <w:szCs w:val="32"/>
          <w:lang w:val="zh-CN"/>
          <w14:textFill>
            <w14:solidFill>
              <w14:schemeClr w14:val="tx1"/>
            </w14:solidFill>
          </w14:textFill>
        </w:rPr>
      </w:pPr>
      <w:r>
        <w:rPr>
          <w:rFonts w:hint="eastAsia" w:ascii="Times New Roman" w:hAnsi="Times New Roman" w:eastAsia="仿宋_GB2312" w:cs="仿宋_GB2312"/>
          <w:color w:val="000000" w:themeColor="text1"/>
          <w:sz w:val="32"/>
          <w:szCs w:val="32"/>
          <w:lang w:val="zh-CN"/>
          <w14:textFill>
            <w14:solidFill>
              <w14:schemeClr w14:val="tx1"/>
            </w14:solidFill>
          </w14:textFill>
        </w:rPr>
        <w:t>《攀枝花市财政局关于下达市发展改革委2025年第三方粮食质量检验机构质检服务费的通知》（攀财资投〔2025〕115号）—</w:t>
      </w:r>
      <w:r>
        <w:rPr>
          <w:rFonts w:hint="eastAsia" w:ascii="Times New Roman" w:hAnsi="Times New Roman" w:eastAsia="仿宋_GB2312" w:cs="仿宋_GB2312"/>
          <w:color w:val="000000" w:themeColor="text1"/>
          <w:sz w:val="32"/>
          <w:szCs w:val="32"/>
          <w14:textFill>
            <w14:solidFill>
              <w14:schemeClr w14:val="tx1"/>
            </w14:solidFill>
          </w14:textFill>
        </w:rPr>
        <w:t>18.96万元涉及第三方粮油质量检验监测服务费，市发展改革委向市财政局函送《攀枝花市发展和改革委员会关于商请拨付2025年第三方粮食质量检验机构质检服务费的函》</w:t>
      </w:r>
      <w:r>
        <w:rPr>
          <w:rFonts w:hint="eastAsia" w:ascii="Times New Roman" w:hAnsi="Times New Roman" w:eastAsia="仿宋_GB2312" w:cs="仿宋_GB2312"/>
          <w:color w:val="000000" w:themeColor="text1"/>
          <w:sz w:val="32"/>
          <w:szCs w:val="32"/>
          <w:lang w:val="zh-CN"/>
          <w14:textFill>
            <w14:solidFill>
              <w14:schemeClr w14:val="tx1"/>
            </w14:solidFill>
          </w14:textFill>
        </w:rPr>
        <w:t>（攀发改函〔202</w:t>
      </w:r>
      <w:r>
        <w:rPr>
          <w:rFonts w:hint="eastAsia" w:ascii="Times New Roman" w:hAnsi="Times New Roman" w:eastAsia="仿宋_GB2312" w:cs="仿宋_GB2312"/>
          <w:color w:val="000000" w:themeColor="text1"/>
          <w:sz w:val="32"/>
          <w:szCs w:val="32"/>
          <w14:textFill>
            <w14:solidFill>
              <w14:schemeClr w14:val="tx1"/>
            </w14:solidFill>
          </w14:textFill>
        </w:rPr>
        <w:t>5</w:t>
      </w:r>
      <w:r>
        <w:rPr>
          <w:rFonts w:hint="eastAsia" w:ascii="Times New Roman" w:hAnsi="Times New Roman" w:eastAsia="仿宋_GB2312" w:cs="仿宋_GB2312"/>
          <w:color w:val="000000" w:themeColor="text1"/>
          <w:sz w:val="32"/>
          <w:szCs w:val="32"/>
          <w:lang w:val="zh-CN"/>
          <w14:textFill>
            <w14:solidFill>
              <w14:schemeClr w14:val="tx1"/>
            </w14:solidFill>
          </w14:textFill>
        </w:rPr>
        <w:t>〕</w:t>
      </w:r>
      <w:r>
        <w:rPr>
          <w:rFonts w:hint="eastAsia" w:ascii="Times New Roman" w:hAnsi="Times New Roman" w:eastAsia="仿宋_GB2312" w:cs="仿宋_GB2312"/>
          <w:color w:val="000000" w:themeColor="text1"/>
          <w:sz w:val="32"/>
          <w:szCs w:val="32"/>
          <w14:textFill>
            <w14:solidFill>
              <w14:schemeClr w14:val="tx1"/>
            </w14:solidFill>
          </w14:textFill>
        </w:rPr>
        <w:t>84</w:t>
      </w:r>
      <w:r>
        <w:rPr>
          <w:rFonts w:hint="eastAsia" w:ascii="Times New Roman" w:hAnsi="Times New Roman" w:eastAsia="仿宋_GB2312" w:cs="仿宋_GB2312"/>
          <w:color w:val="000000" w:themeColor="text1"/>
          <w:sz w:val="32"/>
          <w:szCs w:val="32"/>
          <w:lang w:val="zh-CN"/>
          <w14:textFill>
            <w14:solidFill>
              <w14:schemeClr w14:val="tx1"/>
            </w14:solidFill>
          </w14:textFill>
        </w:rPr>
        <w:t>号）文件，并由市财政局同意后下达费用</w:t>
      </w:r>
      <w:r>
        <w:rPr>
          <w:rFonts w:hint="eastAsia" w:ascii="Times New Roman" w:hAnsi="Times New Roman" w:eastAsia="仿宋_GB2312" w:cs="仿宋_GB2312"/>
          <w:color w:val="000000" w:themeColor="text1"/>
          <w:sz w:val="32"/>
          <w:szCs w:val="32"/>
          <w14:textFill>
            <w14:solidFill>
              <w14:schemeClr w14:val="tx1"/>
            </w14:solidFill>
          </w14:textFill>
        </w:rPr>
        <w:t>18.96万元</w:t>
      </w:r>
      <w:r>
        <w:rPr>
          <w:rFonts w:hint="eastAsia" w:ascii="Times New Roman" w:hAnsi="Times New Roman" w:eastAsia="仿宋_GB2312" w:cs="仿宋_GB2312"/>
          <w:color w:val="000000" w:themeColor="text1"/>
          <w:sz w:val="32"/>
          <w:szCs w:val="32"/>
          <w:lang w:val="zh-CN"/>
          <w14:textFill>
            <w14:solidFill>
              <w14:schemeClr w14:val="tx1"/>
            </w14:solidFill>
          </w14:textFill>
        </w:rPr>
        <w:t>。</w:t>
      </w:r>
    </w:p>
    <w:p w14:paraId="54EF268C">
      <w:pPr>
        <w:keepNext w:val="0"/>
        <w:keepLines w:val="0"/>
        <w:pageBreakBefore w:val="0"/>
        <w:widowControl/>
        <w:kinsoku/>
        <w:wordWrap/>
        <w:overflowPunct/>
        <w:topLinePunct w:val="0"/>
        <w:autoSpaceDE/>
        <w:autoSpaceDN/>
        <w:bidi w:val="0"/>
        <w:adjustRightInd w:val="0"/>
        <w:snapToGrid w:val="0"/>
        <w:spacing w:line="600" w:lineRule="exact"/>
        <w:ind w:firstLine="643" w:firstLineChars="200"/>
        <w:contextualSpacing/>
        <w:jc w:val="both"/>
        <w:textAlignment w:val="auto"/>
        <w:rPr>
          <w:rFonts w:hint="eastAsia" w:eastAsia="楷体_GB2312" w:cs="楷体_GB2312"/>
          <w:b/>
          <w:color w:val="000000" w:themeColor="text1"/>
          <w:sz w:val="32"/>
          <w:szCs w:val="32"/>
          <w:lang w:val="zh-CN"/>
          <w14:textFill>
            <w14:solidFill>
              <w14:schemeClr w14:val="tx1"/>
            </w14:solidFill>
          </w14:textFill>
        </w:rPr>
      </w:pPr>
      <w:r>
        <w:rPr>
          <w:rFonts w:hint="eastAsia" w:eastAsia="楷体_GB2312" w:cs="楷体_GB2312"/>
          <w:b/>
          <w:color w:val="000000" w:themeColor="text1"/>
          <w:sz w:val="32"/>
          <w:szCs w:val="32"/>
          <w:lang w:val="zh-CN"/>
          <w14:textFill>
            <w14:solidFill>
              <w14:schemeClr w14:val="tx1"/>
            </w14:solidFill>
          </w14:textFill>
        </w:rPr>
        <w:t>（二）资金计划、到位及使用情况</w:t>
      </w:r>
    </w:p>
    <w:p w14:paraId="6568A350">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eastAsia" w:ascii="Times New Roman" w:hAnsi="Times New Roman" w:eastAsia="仿宋_GB2312" w:cs="仿宋_GB2312"/>
          <w:color w:val="000000" w:themeColor="text1"/>
          <w:sz w:val="32"/>
          <w:szCs w:val="32"/>
          <w:lang w:val="zh-CN"/>
          <w14:textFill>
            <w14:solidFill>
              <w14:schemeClr w14:val="tx1"/>
            </w14:solidFill>
          </w14:textFill>
        </w:rPr>
      </w:pPr>
      <w:r>
        <w:rPr>
          <w:rFonts w:hint="eastAsia" w:ascii="Times New Roman" w:hAnsi="Times New Roman" w:eastAsia="仿宋_GB2312" w:cs="仿宋_GB2312"/>
          <w:color w:val="000000" w:themeColor="text1"/>
          <w:sz w:val="32"/>
          <w:szCs w:val="32"/>
          <w:lang w:val="zh-CN"/>
          <w14:textFill>
            <w14:solidFill>
              <w14:schemeClr w14:val="tx1"/>
            </w14:solidFill>
          </w14:textFill>
        </w:rPr>
        <w:t>1.资金计划。以上费用均由市级财政承担，不涉及项目单位自筹、其他渠道资金。</w:t>
      </w:r>
    </w:p>
    <w:p w14:paraId="072788FD">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eastAsia" w:ascii="Times New Roman" w:hAnsi="Times New Roman" w:eastAsia="仿宋_GB2312" w:cs="仿宋_GB2312"/>
          <w:color w:val="000000" w:themeColor="text1"/>
          <w:sz w:val="32"/>
          <w:szCs w:val="32"/>
          <w14:textFill>
            <w14:solidFill>
              <w14:schemeClr w14:val="tx1"/>
            </w14:solidFill>
          </w14:textFill>
        </w:rPr>
      </w:pPr>
      <w:r>
        <w:rPr>
          <w:rFonts w:hint="eastAsia" w:ascii="Times New Roman" w:hAnsi="Times New Roman" w:eastAsia="仿宋_GB2312" w:cs="仿宋_GB2312"/>
          <w:color w:val="000000" w:themeColor="text1"/>
          <w:sz w:val="32"/>
          <w:szCs w:val="32"/>
          <w:lang w:val="zh-CN"/>
          <w14:textFill>
            <w14:solidFill>
              <w14:schemeClr w14:val="tx1"/>
            </w14:solidFill>
          </w14:textFill>
        </w:rPr>
        <w:t>2.资金到位。</w:t>
      </w:r>
      <w:r>
        <w:rPr>
          <w:rFonts w:hint="eastAsia" w:ascii="Times New Roman" w:hAnsi="Times New Roman" w:eastAsia="仿宋_GB2312" w:cs="仿宋_GB2312"/>
          <w:color w:val="000000" w:themeColor="text1"/>
          <w:sz w:val="32"/>
          <w:szCs w:val="32"/>
          <w14:textFill>
            <w14:solidFill>
              <w14:schemeClr w14:val="tx1"/>
            </w14:solidFill>
          </w14:textFill>
        </w:rPr>
        <w:t>2025年第3季度、第4季度</w:t>
      </w:r>
      <w:r>
        <w:rPr>
          <w:rFonts w:hint="eastAsia" w:ascii="Times New Roman" w:hAnsi="Times New Roman" w:eastAsia="仿宋_GB2312" w:cs="仿宋_GB2312"/>
          <w:color w:val="000000" w:themeColor="text1"/>
          <w:sz w:val="32"/>
          <w:szCs w:val="32"/>
          <w:lang w:val="zh-CN"/>
          <w14:textFill>
            <w14:solidFill>
              <w14:schemeClr w14:val="tx1"/>
            </w14:solidFill>
          </w14:textFill>
        </w:rPr>
        <w:t>，市财政共计拨付市级粮油储备（轮换）费用</w:t>
      </w:r>
      <w:r>
        <w:rPr>
          <w:rFonts w:hint="eastAsia" w:ascii="Times New Roman" w:hAnsi="Times New Roman" w:eastAsia="仿宋_GB2312" w:cs="仿宋_GB2312"/>
          <w:color w:val="000000" w:themeColor="text1"/>
          <w:sz w:val="32"/>
          <w:szCs w:val="32"/>
          <w14:textFill>
            <w14:solidFill>
              <w14:schemeClr w14:val="tx1"/>
            </w14:solidFill>
          </w14:textFill>
        </w:rPr>
        <w:t>326.33万元（含专项资金220.83万元），其中，</w:t>
      </w:r>
      <w:r>
        <w:rPr>
          <w:rFonts w:hint="eastAsia" w:ascii="Times New Roman" w:hAnsi="Times New Roman" w:eastAsia="仿宋_GB2312" w:cs="仿宋_GB2312"/>
          <w:color w:val="000000" w:themeColor="text1"/>
          <w:sz w:val="32"/>
          <w:szCs w:val="32"/>
          <w:lang w:val="zh-CN"/>
          <w14:textFill>
            <w14:solidFill>
              <w14:schemeClr w14:val="tx1"/>
            </w14:solidFill>
          </w14:textFill>
        </w:rPr>
        <w:t>四川攀枝花国家粮食储备库共收到市财政拨付市级粮油储备（轮换）费用补贴</w:t>
      </w:r>
      <w:r>
        <w:rPr>
          <w:rFonts w:hint="eastAsia" w:ascii="Times New Roman" w:hAnsi="Times New Roman" w:eastAsia="仿宋_GB2312" w:cs="仿宋_GB2312"/>
          <w:color w:val="000000" w:themeColor="text1"/>
          <w:sz w:val="32"/>
          <w:szCs w:val="32"/>
          <w14:textFill>
            <w14:solidFill>
              <w14:schemeClr w14:val="tx1"/>
            </w14:solidFill>
          </w14:textFill>
        </w:rPr>
        <w:t>140.65</w:t>
      </w:r>
      <w:r>
        <w:rPr>
          <w:rFonts w:hint="eastAsia" w:ascii="Times New Roman" w:hAnsi="Times New Roman" w:eastAsia="仿宋_GB2312" w:cs="仿宋_GB2312"/>
          <w:color w:val="000000" w:themeColor="text1"/>
          <w:sz w:val="32"/>
          <w:szCs w:val="32"/>
          <w:lang w:val="zh-CN"/>
          <w14:textFill>
            <w14:solidFill>
              <w14:schemeClr w14:val="tx1"/>
            </w14:solidFill>
          </w14:textFill>
        </w:rPr>
        <w:t>万元；四川攀枝花大水井省粮食储备库共收到市财政拨付市级粮油储备（轮换）费用补贴</w:t>
      </w:r>
      <w:r>
        <w:rPr>
          <w:rFonts w:hint="eastAsia" w:ascii="Times New Roman" w:hAnsi="Times New Roman" w:eastAsia="仿宋_GB2312" w:cs="仿宋_GB2312"/>
          <w:color w:val="000000" w:themeColor="text1"/>
          <w:sz w:val="32"/>
          <w:szCs w:val="32"/>
          <w14:textFill>
            <w14:solidFill>
              <w14:schemeClr w14:val="tx1"/>
            </w14:solidFill>
          </w14:textFill>
        </w:rPr>
        <w:t>109.78</w:t>
      </w:r>
      <w:r>
        <w:rPr>
          <w:rFonts w:hint="eastAsia" w:ascii="Times New Roman" w:hAnsi="Times New Roman" w:eastAsia="仿宋_GB2312" w:cs="仿宋_GB2312"/>
          <w:color w:val="000000" w:themeColor="text1"/>
          <w:sz w:val="32"/>
          <w:szCs w:val="32"/>
          <w:lang w:val="zh-CN"/>
          <w14:textFill>
            <w14:solidFill>
              <w14:schemeClr w14:val="tx1"/>
            </w14:solidFill>
          </w14:textFill>
        </w:rPr>
        <w:t>万元；攀枝花现代农业有限公司共收到市财政拨付市级粮油储备（轮换）费用补贴</w:t>
      </w:r>
      <w:r>
        <w:rPr>
          <w:rFonts w:hint="eastAsia" w:ascii="Times New Roman" w:hAnsi="Times New Roman" w:eastAsia="仿宋_GB2312" w:cs="仿宋_GB2312"/>
          <w:color w:val="000000" w:themeColor="text1"/>
          <w:sz w:val="32"/>
          <w:szCs w:val="32"/>
          <w14:textFill>
            <w14:solidFill>
              <w14:schemeClr w14:val="tx1"/>
            </w14:solidFill>
          </w14:textFill>
        </w:rPr>
        <w:t>65</w:t>
      </w:r>
      <w:r>
        <w:rPr>
          <w:rFonts w:hint="eastAsia" w:ascii="Times New Roman" w:hAnsi="Times New Roman" w:eastAsia="仿宋_GB2312" w:cs="仿宋_GB2312"/>
          <w:color w:val="000000" w:themeColor="text1"/>
          <w:sz w:val="32"/>
          <w:szCs w:val="32"/>
          <w:lang w:val="zh-CN"/>
          <w14:textFill>
            <w14:solidFill>
              <w14:schemeClr w14:val="tx1"/>
            </w14:solidFill>
          </w14:textFill>
        </w:rPr>
        <w:t>万元；攀枝花密地国家粮食储备库共收到市财政拨付市级粮油储备（轮换）费用补贴</w:t>
      </w:r>
      <w:r>
        <w:rPr>
          <w:rFonts w:hint="eastAsia" w:ascii="Times New Roman" w:hAnsi="Times New Roman" w:eastAsia="仿宋_GB2312" w:cs="仿宋_GB2312"/>
          <w:color w:val="000000" w:themeColor="text1"/>
          <w:sz w:val="32"/>
          <w:szCs w:val="32"/>
          <w14:textFill>
            <w14:solidFill>
              <w14:schemeClr w14:val="tx1"/>
            </w14:solidFill>
          </w14:textFill>
        </w:rPr>
        <w:t>10.9</w:t>
      </w:r>
      <w:r>
        <w:rPr>
          <w:rFonts w:hint="eastAsia" w:ascii="Times New Roman" w:hAnsi="Times New Roman" w:eastAsia="仿宋_GB2312" w:cs="仿宋_GB2312"/>
          <w:color w:val="000000" w:themeColor="text1"/>
          <w:sz w:val="32"/>
          <w:szCs w:val="32"/>
          <w:lang w:val="zh-CN"/>
          <w14:textFill>
            <w14:solidFill>
              <w14:schemeClr w14:val="tx1"/>
            </w14:solidFill>
          </w14:textFill>
        </w:rPr>
        <w:t>万元。项目资金到位情况与资金计划相匹配，到位率为</w:t>
      </w:r>
      <w:r>
        <w:rPr>
          <w:rFonts w:hint="eastAsia" w:ascii="Times New Roman" w:hAnsi="Times New Roman" w:eastAsia="仿宋_GB2312" w:cs="仿宋_GB2312"/>
          <w:color w:val="000000" w:themeColor="text1"/>
          <w:sz w:val="32"/>
          <w:szCs w:val="32"/>
          <w14:textFill>
            <w14:solidFill>
              <w14:schemeClr w14:val="tx1"/>
            </w14:solidFill>
          </w14:textFill>
        </w:rPr>
        <w:t>100%，资金到位及时。</w:t>
      </w:r>
    </w:p>
    <w:p w14:paraId="692AE676">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eastAsia" w:ascii="Times New Roman" w:hAnsi="Times New Roman" w:eastAsia="仿宋_GB2312" w:cs="仿宋_GB2312"/>
          <w:color w:val="000000" w:themeColor="text1"/>
          <w:sz w:val="32"/>
          <w:szCs w:val="32"/>
          <w14:textFill>
            <w14:solidFill>
              <w14:schemeClr w14:val="tx1"/>
            </w14:solidFill>
          </w14:textFill>
        </w:rPr>
      </w:pPr>
      <w:r>
        <w:rPr>
          <w:rFonts w:hint="eastAsia" w:ascii="Times New Roman" w:hAnsi="Times New Roman" w:eastAsia="仿宋_GB2312" w:cs="仿宋_GB2312"/>
          <w:color w:val="000000" w:themeColor="text1"/>
          <w:sz w:val="32"/>
          <w:szCs w:val="32"/>
          <w14:textFill>
            <w14:solidFill>
              <w14:schemeClr w14:val="tx1"/>
            </w14:solidFill>
          </w14:textFill>
        </w:rPr>
        <w:t>2025年12月底，市财政向第三方检验监测机构—四川威尔检测技术股份有限公司支付检验监测费用18.96万元，</w:t>
      </w:r>
      <w:r>
        <w:rPr>
          <w:rFonts w:hint="eastAsia" w:ascii="Times New Roman" w:hAnsi="Times New Roman" w:eastAsia="仿宋_GB2312" w:cs="仿宋_GB2312"/>
          <w:color w:val="000000" w:themeColor="text1"/>
          <w:sz w:val="32"/>
          <w:szCs w:val="32"/>
          <w:lang w:val="zh-CN"/>
          <w14:textFill>
            <w14:solidFill>
              <w14:schemeClr w14:val="tx1"/>
            </w14:solidFill>
          </w14:textFill>
        </w:rPr>
        <w:t>项目资金到位情况与资金计划相匹配，到位率为</w:t>
      </w:r>
      <w:r>
        <w:rPr>
          <w:rFonts w:hint="eastAsia" w:ascii="Times New Roman" w:hAnsi="Times New Roman" w:eastAsia="仿宋_GB2312" w:cs="仿宋_GB2312"/>
          <w:color w:val="000000" w:themeColor="text1"/>
          <w:sz w:val="32"/>
          <w:szCs w:val="32"/>
          <w14:textFill>
            <w14:solidFill>
              <w14:schemeClr w14:val="tx1"/>
            </w14:solidFill>
          </w14:textFill>
        </w:rPr>
        <w:t>100%，资金到位及时。</w:t>
      </w:r>
    </w:p>
    <w:p w14:paraId="47D3E87A">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eastAsia" w:ascii="Times New Roman" w:hAnsi="Times New Roman" w:eastAsia="仿宋_GB2312" w:cs="仿宋_GB2312"/>
          <w:color w:val="000000" w:themeColor="text1"/>
          <w:sz w:val="32"/>
          <w:szCs w:val="32"/>
          <w:lang w:val="zh-CN"/>
          <w14:textFill>
            <w14:solidFill>
              <w14:schemeClr w14:val="tx1"/>
            </w14:solidFill>
          </w14:textFill>
        </w:rPr>
      </w:pPr>
      <w:r>
        <w:rPr>
          <w:rFonts w:hint="eastAsia" w:ascii="Times New Roman" w:hAnsi="Times New Roman" w:eastAsia="仿宋_GB2312" w:cs="仿宋_GB2312"/>
          <w:color w:val="000000" w:themeColor="text1"/>
          <w:sz w:val="32"/>
          <w:szCs w:val="32"/>
          <w:lang w:val="zh-CN"/>
          <w14:textFill>
            <w14:solidFill>
              <w14:schemeClr w14:val="tx1"/>
            </w14:solidFill>
          </w14:textFill>
        </w:rPr>
        <w:t>3.资金使用。各承储企业资金用于轮换价差及损耗费用、贷款利息、人工支出、保管费用、水电费、设备维修费、安全费、办公费等；</w:t>
      </w:r>
      <w:r>
        <w:rPr>
          <w:rFonts w:hint="eastAsia" w:ascii="Times New Roman" w:hAnsi="Times New Roman" w:eastAsia="仿宋_GB2312" w:cs="仿宋_GB2312"/>
          <w:color w:val="000000" w:themeColor="text1"/>
          <w:sz w:val="32"/>
          <w:szCs w:val="32"/>
          <w14:textFill>
            <w14:solidFill>
              <w14:schemeClr w14:val="tx1"/>
            </w14:solidFill>
          </w14:textFill>
        </w:rPr>
        <w:t>第三方检验监测服务费用于开展政策性储备粮油全周期、全环节粮食质量检验监测，确保保管、轮换等环节粮油质量符合国家标准。</w:t>
      </w:r>
    </w:p>
    <w:p w14:paraId="75D4ECBB">
      <w:pPr>
        <w:keepNext w:val="0"/>
        <w:keepLines w:val="0"/>
        <w:pageBreakBefore w:val="0"/>
        <w:widowControl/>
        <w:kinsoku/>
        <w:wordWrap/>
        <w:overflowPunct/>
        <w:topLinePunct w:val="0"/>
        <w:autoSpaceDE/>
        <w:autoSpaceDN/>
        <w:bidi w:val="0"/>
        <w:adjustRightInd w:val="0"/>
        <w:snapToGrid w:val="0"/>
        <w:spacing w:line="600" w:lineRule="exact"/>
        <w:ind w:firstLine="643" w:firstLineChars="200"/>
        <w:contextualSpacing/>
        <w:jc w:val="both"/>
        <w:textAlignment w:val="auto"/>
        <w:rPr>
          <w:rFonts w:hint="eastAsia" w:eastAsia="楷体_GB2312" w:cs="楷体_GB2312"/>
          <w:b/>
          <w:color w:val="000000" w:themeColor="text1"/>
          <w:sz w:val="32"/>
          <w:szCs w:val="32"/>
          <w:lang w:val="zh-CN"/>
          <w14:textFill>
            <w14:solidFill>
              <w14:schemeClr w14:val="tx1"/>
            </w14:solidFill>
          </w14:textFill>
        </w:rPr>
      </w:pPr>
      <w:r>
        <w:rPr>
          <w:rFonts w:hint="eastAsia" w:eastAsia="楷体_GB2312" w:cs="楷体_GB2312"/>
          <w:b/>
          <w:color w:val="000000" w:themeColor="text1"/>
          <w:sz w:val="32"/>
          <w:szCs w:val="32"/>
          <w:lang w:val="zh-CN"/>
          <w14:textFill>
            <w14:solidFill>
              <w14:schemeClr w14:val="tx1"/>
            </w14:solidFill>
          </w14:textFill>
        </w:rPr>
        <w:t>（三）项目财务管理情况</w:t>
      </w:r>
    </w:p>
    <w:p w14:paraId="597B991D">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eastAsia" w:ascii="Times New Roman" w:hAnsi="Times New Roman" w:eastAsia="仿宋_GB2312" w:cs="仿宋_GB2312"/>
          <w:color w:val="000000" w:themeColor="text1"/>
          <w:sz w:val="32"/>
          <w:szCs w:val="32"/>
          <w:lang w:val="zh-CN"/>
          <w14:textFill>
            <w14:solidFill>
              <w14:schemeClr w14:val="tx1"/>
            </w14:solidFill>
          </w14:textFill>
        </w:rPr>
      </w:pPr>
      <w:r>
        <w:rPr>
          <w:rFonts w:hint="eastAsia" w:ascii="Times New Roman" w:hAnsi="Times New Roman" w:eastAsia="仿宋_GB2312" w:cs="仿宋_GB2312"/>
          <w:color w:val="000000" w:themeColor="text1"/>
          <w:sz w:val="32"/>
          <w:szCs w:val="32"/>
          <w:lang w:val="zh-CN"/>
          <w14:textFill>
            <w14:solidFill>
              <w14:schemeClr w14:val="tx1"/>
            </w14:solidFill>
          </w14:textFill>
        </w:rPr>
        <w:t>资金严格按照《攀枝</w:t>
      </w:r>
      <w:r>
        <w:rPr>
          <w:rFonts w:hint="eastAsia" w:ascii="Times New Roman" w:hAnsi="Times New Roman" w:eastAsia="仿宋_GB2312" w:cs="仿宋_GB2312"/>
          <w:color w:val="000000" w:themeColor="text1"/>
          <w:sz w:val="32"/>
          <w:szCs w:val="32"/>
          <w14:textFill>
            <w14:solidFill>
              <w14:schemeClr w14:val="tx1"/>
            </w14:solidFill>
          </w14:textFill>
        </w:rPr>
        <w:t>花市级储备粮管理（暂行）办法</w:t>
      </w:r>
      <w:r>
        <w:rPr>
          <w:rFonts w:hint="eastAsia" w:ascii="Times New Roman" w:hAnsi="Times New Roman" w:eastAsia="仿宋_GB2312" w:cs="仿宋_GB2312"/>
          <w:color w:val="000000" w:themeColor="text1"/>
          <w:sz w:val="32"/>
          <w:szCs w:val="32"/>
          <w:lang w:val="zh-CN"/>
          <w14:textFill>
            <w14:solidFill>
              <w14:schemeClr w14:val="tx1"/>
            </w14:solidFill>
          </w14:textFill>
        </w:rPr>
        <w:t>》及各单位财务管理制度使用，同时，市发展改革委严格要求各企业完善、执行财务管理制度，及时处理账务，规范会计核算。</w:t>
      </w:r>
    </w:p>
    <w:p w14:paraId="784ACA1E">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eastAsia" w:ascii="黑体" w:hAnsi="黑体" w:eastAsia="黑体" w:cs="黑体"/>
          <w:color w:val="000000" w:themeColor="text1"/>
          <w:sz w:val="32"/>
          <w:szCs w:val="32"/>
          <w14:textFill>
            <w14:solidFill>
              <w14:schemeClr w14:val="tx1"/>
            </w14:solidFill>
          </w14:textFill>
        </w:rPr>
      </w:pPr>
      <w:r>
        <w:rPr>
          <w:rFonts w:hint="eastAsia" w:ascii="黑体" w:hAnsi="黑体" w:eastAsia="黑体" w:cs="黑体"/>
          <w:color w:val="000000" w:themeColor="text1"/>
          <w:sz w:val="32"/>
          <w:szCs w:val="32"/>
          <w14:textFill>
            <w14:solidFill>
              <w14:schemeClr w14:val="tx1"/>
            </w14:solidFill>
          </w14:textFill>
        </w:rPr>
        <w:t>三、项目实施及管理情况</w:t>
      </w:r>
    </w:p>
    <w:p w14:paraId="2463D452">
      <w:pPr>
        <w:keepNext w:val="0"/>
        <w:keepLines w:val="0"/>
        <w:pageBreakBefore w:val="0"/>
        <w:widowControl/>
        <w:kinsoku/>
        <w:wordWrap/>
        <w:overflowPunct/>
        <w:topLinePunct w:val="0"/>
        <w:autoSpaceDE/>
        <w:autoSpaceDN/>
        <w:bidi w:val="0"/>
        <w:adjustRightInd w:val="0"/>
        <w:snapToGrid w:val="0"/>
        <w:spacing w:line="600" w:lineRule="exact"/>
        <w:ind w:firstLine="643" w:firstLineChars="200"/>
        <w:contextualSpacing/>
        <w:jc w:val="both"/>
        <w:textAlignment w:val="auto"/>
        <w:rPr>
          <w:rFonts w:hint="eastAsia" w:eastAsia="楷体_GB2312" w:cs="楷体_GB2312"/>
          <w:b/>
          <w:color w:val="000000" w:themeColor="text1"/>
          <w:sz w:val="32"/>
          <w:szCs w:val="32"/>
          <w:lang w:val="zh-CN"/>
          <w14:textFill>
            <w14:solidFill>
              <w14:schemeClr w14:val="tx1"/>
            </w14:solidFill>
          </w14:textFill>
        </w:rPr>
      </w:pPr>
      <w:r>
        <w:rPr>
          <w:rFonts w:hint="eastAsia" w:eastAsia="楷体_GB2312" w:cs="楷体_GB2312"/>
          <w:b/>
          <w:color w:val="000000" w:themeColor="text1"/>
          <w:sz w:val="32"/>
          <w:szCs w:val="32"/>
          <w:lang w:val="zh-CN"/>
          <w14:textFill>
            <w14:solidFill>
              <w14:schemeClr w14:val="tx1"/>
            </w14:solidFill>
          </w14:textFill>
        </w:rPr>
        <w:t>（一）项目组织架构及实施流程</w:t>
      </w:r>
    </w:p>
    <w:p w14:paraId="177E65C5">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eastAsia" w:ascii="Times New Roman" w:hAnsi="Times New Roman" w:eastAsia="仿宋_GB2312" w:cs="仿宋_GB2312"/>
          <w:color w:val="000000" w:themeColor="text1"/>
          <w:sz w:val="32"/>
          <w:szCs w:val="32"/>
          <w:lang w:val="zh-CN"/>
          <w14:textFill>
            <w14:solidFill>
              <w14:schemeClr w14:val="tx1"/>
            </w14:solidFill>
          </w14:textFill>
        </w:rPr>
      </w:pPr>
      <w:r>
        <w:rPr>
          <w:rFonts w:hint="eastAsia" w:ascii="Times New Roman" w:hAnsi="Times New Roman" w:eastAsia="仿宋_GB2312" w:cs="仿宋_GB2312"/>
          <w:color w:val="000000" w:themeColor="text1"/>
          <w:sz w:val="32"/>
          <w:szCs w:val="32"/>
          <w:lang w:val="zh-CN"/>
          <w14:textFill>
            <w14:solidFill>
              <w14:schemeClr w14:val="tx1"/>
            </w14:solidFill>
          </w14:textFill>
        </w:rPr>
        <w:t>市级储备粮油补贴费用由</w:t>
      </w:r>
      <w:r>
        <w:rPr>
          <w:rFonts w:hint="eastAsia" w:ascii="Times New Roman" w:hAnsi="Times New Roman" w:eastAsia="仿宋_GB2312" w:cs="仿宋_GB2312"/>
          <w:color w:val="000000" w:themeColor="text1"/>
          <w:sz w:val="32"/>
          <w:szCs w:val="32"/>
          <w14:textFill>
            <w14:solidFill>
              <w14:schemeClr w14:val="tx1"/>
            </w14:solidFill>
          </w14:textFill>
        </w:rPr>
        <w:t>4</w:t>
      </w:r>
      <w:r>
        <w:rPr>
          <w:rFonts w:hint="eastAsia" w:ascii="Times New Roman" w:hAnsi="Times New Roman" w:eastAsia="仿宋_GB2312" w:cs="仿宋_GB2312"/>
          <w:color w:val="000000" w:themeColor="text1"/>
          <w:sz w:val="32"/>
          <w:szCs w:val="32"/>
          <w:lang w:val="zh-CN"/>
          <w14:textFill>
            <w14:solidFill>
              <w14:schemeClr w14:val="tx1"/>
            </w14:solidFill>
          </w14:textFill>
        </w:rPr>
        <w:t>家市属国有粮食企业按季度向市发展改革委提交《攀枝花市级储备粮油储备费用申请表》，市发展改革委按表单及实际储存数据核实政策性储备粮油数量、质量，在确认储备粮油满足承储要求后，向市财政局申请拨付费用，并由市财政局向承储企业下达费用拨付文件。</w:t>
      </w:r>
    </w:p>
    <w:p w14:paraId="691C3D5E">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eastAsia" w:ascii="Times New Roman" w:hAnsi="Times New Roman" w:eastAsia="仿宋_GB2312" w:cs="仿宋_GB2312"/>
          <w:color w:val="000000" w:themeColor="text1"/>
          <w:sz w:val="32"/>
          <w:szCs w:val="32"/>
          <w:lang w:val="zh-CN"/>
          <w14:textFill>
            <w14:solidFill>
              <w14:schemeClr w14:val="tx1"/>
            </w14:solidFill>
          </w14:textFill>
        </w:rPr>
      </w:pPr>
      <w:r>
        <w:rPr>
          <w:rFonts w:hint="eastAsia" w:ascii="Times New Roman" w:hAnsi="Times New Roman" w:eastAsia="仿宋_GB2312" w:cs="仿宋_GB2312"/>
          <w:color w:val="000000" w:themeColor="text1"/>
          <w:sz w:val="32"/>
          <w:szCs w:val="32"/>
          <w:lang w:val="zh-CN"/>
          <w14:textFill>
            <w14:solidFill>
              <w14:schemeClr w14:val="tx1"/>
            </w14:solidFill>
          </w14:textFill>
        </w:rPr>
        <w:t>第三方检验监测服务费由市发展改革委通过招投标方式，确定检验监测机构，在市发展改革委官方网站公布，并及时将检测任务通知中标方，及时收集、查验检测报告。在全年目标完成后（</w:t>
      </w:r>
      <w:r>
        <w:rPr>
          <w:rFonts w:hint="eastAsia" w:ascii="Times New Roman" w:hAnsi="Times New Roman" w:eastAsia="仿宋_GB2312" w:cs="仿宋_GB2312"/>
          <w:color w:val="000000" w:themeColor="text1"/>
          <w:sz w:val="32"/>
          <w:szCs w:val="32"/>
          <w14:textFill>
            <w14:solidFill>
              <w14:schemeClr w14:val="tx1"/>
            </w14:solidFill>
          </w14:textFill>
        </w:rPr>
        <w:t>214个批次</w:t>
      </w:r>
      <w:r>
        <w:rPr>
          <w:rFonts w:hint="eastAsia" w:ascii="Times New Roman" w:hAnsi="Times New Roman" w:eastAsia="仿宋_GB2312" w:cs="仿宋_GB2312"/>
          <w:color w:val="000000" w:themeColor="text1"/>
          <w:sz w:val="32"/>
          <w:szCs w:val="32"/>
          <w:lang w:val="zh-CN"/>
          <w14:textFill>
            <w14:solidFill>
              <w14:schemeClr w14:val="tx1"/>
            </w14:solidFill>
          </w14:textFill>
        </w:rPr>
        <w:t>），市发展改革委向市财政局申请拨付费用，并由市财政局拨付费用。</w:t>
      </w:r>
    </w:p>
    <w:p w14:paraId="7C7BEB4C">
      <w:pPr>
        <w:keepNext w:val="0"/>
        <w:keepLines w:val="0"/>
        <w:pageBreakBefore w:val="0"/>
        <w:widowControl w:val="0"/>
        <w:kinsoku/>
        <w:wordWrap/>
        <w:overflowPunct/>
        <w:topLinePunct w:val="0"/>
        <w:autoSpaceDE/>
        <w:autoSpaceDN/>
        <w:bidi w:val="0"/>
        <w:adjustRightInd w:val="0"/>
        <w:snapToGrid w:val="0"/>
        <w:spacing w:line="600" w:lineRule="exact"/>
        <w:ind w:firstLine="643" w:firstLineChars="200"/>
        <w:textAlignment w:val="auto"/>
        <w:rPr>
          <w:rFonts w:hint="eastAsia" w:ascii="Times New Roman" w:hAnsi="Times New Roman" w:eastAsia="仿宋_GB2312" w:cs="仿宋_GB2312"/>
          <w:color w:val="000000" w:themeColor="text1"/>
          <w:sz w:val="32"/>
          <w:szCs w:val="32"/>
          <w:lang w:val="zh-CN"/>
          <w14:textFill>
            <w14:solidFill>
              <w14:schemeClr w14:val="tx1"/>
            </w14:solidFill>
          </w14:textFill>
        </w:rPr>
      </w:pPr>
      <w:r>
        <w:rPr>
          <w:rFonts w:hint="eastAsia" w:eastAsia="楷体_GB2312" w:cs="楷体_GB2312"/>
          <w:b/>
          <w:color w:val="000000" w:themeColor="text1"/>
          <w:sz w:val="32"/>
          <w:szCs w:val="32"/>
          <w:lang w:val="zh-CN"/>
          <w14:textFill>
            <w14:solidFill>
              <w14:schemeClr w14:val="tx1"/>
            </w14:solidFill>
          </w14:textFill>
        </w:rPr>
        <w:t>（二）项目管理情况。</w:t>
      </w:r>
      <w:r>
        <w:rPr>
          <w:rFonts w:hint="eastAsia" w:ascii="Times New Roman" w:hAnsi="Times New Roman" w:eastAsia="仿宋_GB2312" w:cs="仿宋_GB2312"/>
          <w:color w:val="000000" w:themeColor="text1"/>
          <w:sz w:val="32"/>
          <w:szCs w:val="32"/>
          <w:lang w:val="zh-CN"/>
          <w14:textFill>
            <w14:solidFill>
              <w14:schemeClr w14:val="tx1"/>
            </w14:solidFill>
          </w14:textFill>
        </w:rPr>
        <w:t>市级储备粮油补贴费用、第三方检验监测服务费，严格按照程序申请、拨付，严格遵守相关规定。</w:t>
      </w:r>
    </w:p>
    <w:p w14:paraId="2D29037D">
      <w:pPr>
        <w:keepNext w:val="0"/>
        <w:keepLines w:val="0"/>
        <w:pageBreakBefore w:val="0"/>
        <w:widowControl w:val="0"/>
        <w:kinsoku/>
        <w:wordWrap/>
        <w:overflowPunct/>
        <w:topLinePunct w:val="0"/>
        <w:autoSpaceDE/>
        <w:autoSpaceDN/>
        <w:bidi w:val="0"/>
        <w:adjustRightInd w:val="0"/>
        <w:snapToGrid w:val="0"/>
        <w:spacing w:line="600" w:lineRule="exact"/>
        <w:ind w:firstLine="643" w:firstLineChars="200"/>
        <w:textAlignment w:val="auto"/>
        <w:rPr>
          <w:rFonts w:hint="eastAsia" w:ascii="Times New Roman" w:hAnsi="Times New Roman" w:eastAsia="仿宋_GB2312" w:cs="仿宋_GB2312"/>
          <w:color w:val="000000" w:themeColor="text1"/>
          <w:sz w:val="32"/>
          <w:szCs w:val="32"/>
          <w:lang w:val="zh-CN"/>
          <w14:textFill>
            <w14:solidFill>
              <w14:schemeClr w14:val="tx1"/>
            </w14:solidFill>
          </w14:textFill>
        </w:rPr>
      </w:pPr>
      <w:r>
        <w:rPr>
          <w:rFonts w:hint="eastAsia" w:eastAsia="楷体_GB2312" w:cs="楷体_GB2312"/>
          <w:b/>
          <w:color w:val="000000" w:themeColor="text1"/>
          <w:sz w:val="32"/>
          <w:szCs w:val="32"/>
          <w:lang w:val="zh-CN"/>
          <w14:textFill>
            <w14:solidFill>
              <w14:schemeClr w14:val="tx1"/>
            </w14:solidFill>
          </w14:textFill>
        </w:rPr>
        <w:t>（三）项目监管情况。</w:t>
      </w:r>
      <w:r>
        <w:rPr>
          <w:rFonts w:hint="eastAsia" w:ascii="Times New Roman" w:hAnsi="Times New Roman" w:eastAsia="仿宋_GB2312" w:cs="仿宋_GB2312"/>
          <w:color w:val="000000" w:themeColor="text1"/>
          <w:sz w:val="32"/>
          <w:szCs w:val="32"/>
          <w:lang w:val="zh-CN"/>
          <w14:textFill>
            <w14:solidFill>
              <w14:schemeClr w14:val="tx1"/>
            </w14:solidFill>
          </w14:textFill>
        </w:rPr>
        <w:t>市发展改革委制定了《攀枝</w:t>
      </w:r>
      <w:r>
        <w:rPr>
          <w:rFonts w:hint="eastAsia" w:ascii="Times New Roman" w:hAnsi="Times New Roman" w:eastAsia="仿宋_GB2312" w:cs="仿宋_GB2312"/>
          <w:color w:val="000000" w:themeColor="text1"/>
          <w:sz w:val="32"/>
          <w:szCs w:val="32"/>
          <w14:textFill>
            <w14:solidFill>
              <w14:schemeClr w14:val="tx1"/>
            </w14:solidFill>
          </w14:textFill>
        </w:rPr>
        <w:t>花市级储备粮管理（暂行）办法</w:t>
      </w:r>
      <w:r>
        <w:rPr>
          <w:rFonts w:hint="eastAsia" w:ascii="Times New Roman" w:hAnsi="Times New Roman" w:eastAsia="仿宋_GB2312" w:cs="仿宋_GB2312"/>
          <w:color w:val="000000" w:themeColor="text1"/>
          <w:sz w:val="32"/>
          <w:szCs w:val="32"/>
          <w:lang w:val="zh-CN"/>
          <w14:textFill>
            <w14:solidFill>
              <w14:schemeClr w14:val="tx1"/>
            </w14:solidFill>
          </w14:textFill>
        </w:rPr>
        <w:t>》等办法，每季度采取“四不两直”方式，到各承储单位检查政策性储备粮油数量、质量、相关保管情况等，收到承储企业季度费用申请单后，立刻组织工作人员核实，对于发现问题发出整改通知书，并建立问题台账，严格要求企业立查立改，保障了储备粮油安全。同时，市发展改革委严格落实监管职责，组织第三方检验检测机构开展粮油钎样，并查看检验报告，确保检验报告真实有效。</w:t>
      </w:r>
    </w:p>
    <w:p w14:paraId="7830F77F">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eastAsia" w:ascii="黑体" w:hAnsi="黑体" w:eastAsia="黑体" w:cs="黑体"/>
          <w:color w:val="000000" w:themeColor="text1"/>
          <w:sz w:val="32"/>
          <w:szCs w:val="32"/>
          <w:lang w:val="zh-CN"/>
          <w14:textFill>
            <w14:solidFill>
              <w14:schemeClr w14:val="tx1"/>
            </w14:solidFill>
          </w14:textFill>
        </w:rPr>
      </w:pPr>
      <w:r>
        <w:rPr>
          <w:rFonts w:hint="eastAsia" w:ascii="黑体" w:hAnsi="黑体" w:eastAsia="黑体" w:cs="黑体"/>
          <w:color w:val="000000" w:themeColor="text1"/>
          <w:sz w:val="32"/>
          <w:szCs w:val="32"/>
          <w14:textFill>
            <w14:solidFill>
              <w14:schemeClr w14:val="tx1"/>
            </w14:solidFill>
          </w14:textFill>
        </w:rPr>
        <w:t>四、项目绩效情况</w:t>
      </w:r>
      <w:r>
        <w:rPr>
          <w:rFonts w:hint="eastAsia" w:ascii="黑体" w:hAnsi="黑体" w:eastAsia="黑体" w:cs="黑体"/>
          <w:color w:val="000000" w:themeColor="text1"/>
          <w:sz w:val="32"/>
          <w:szCs w:val="32"/>
          <w:lang w:val="zh-CN"/>
          <w14:textFill>
            <w14:solidFill>
              <w14:schemeClr w14:val="tx1"/>
            </w14:solidFill>
          </w14:textFill>
        </w:rPr>
        <w:tab/>
      </w:r>
    </w:p>
    <w:p w14:paraId="17B7833C">
      <w:pPr>
        <w:keepNext w:val="0"/>
        <w:keepLines w:val="0"/>
        <w:pageBreakBefore w:val="0"/>
        <w:widowControl w:val="0"/>
        <w:kinsoku/>
        <w:wordWrap/>
        <w:overflowPunct/>
        <w:topLinePunct w:val="0"/>
        <w:autoSpaceDE/>
        <w:autoSpaceDN/>
        <w:bidi w:val="0"/>
        <w:adjustRightInd w:val="0"/>
        <w:snapToGrid w:val="0"/>
        <w:spacing w:line="600" w:lineRule="exact"/>
        <w:ind w:firstLine="643" w:firstLineChars="200"/>
        <w:textAlignment w:val="auto"/>
        <w:rPr>
          <w:rFonts w:hint="eastAsia" w:eastAsia="楷体_GB2312" w:cs="楷体_GB2312"/>
          <w:b/>
          <w:color w:val="000000" w:themeColor="text1"/>
          <w:sz w:val="32"/>
          <w:szCs w:val="32"/>
          <w:lang w:val="zh-CN"/>
          <w14:textFill>
            <w14:solidFill>
              <w14:schemeClr w14:val="tx1"/>
            </w14:solidFill>
          </w14:textFill>
        </w:rPr>
      </w:pPr>
      <w:r>
        <w:rPr>
          <w:rFonts w:hint="eastAsia" w:eastAsia="楷体_GB2312" w:cs="楷体_GB2312"/>
          <w:b/>
          <w:color w:val="000000" w:themeColor="text1"/>
          <w:sz w:val="32"/>
          <w:szCs w:val="32"/>
          <w:lang w:val="zh-CN"/>
          <w14:textFill>
            <w14:solidFill>
              <w14:schemeClr w14:val="tx1"/>
            </w14:solidFill>
          </w14:textFill>
        </w:rPr>
        <w:t>（一）项目完成情况</w:t>
      </w:r>
    </w:p>
    <w:p w14:paraId="08FDC9B3">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eastAsia" w:ascii="Times New Roman" w:hAnsi="Times New Roman" w:eastAsia="仿宋_GB2312" w:cs="仿宋_GB2312"/>
          <w:color w:val="000000" w:themeColor="text1"/>
          <w:sz w:val="32"/>
          <w:szCs w:val="32"/>
          <w:lang w:val="zh-CN"/>
          <w14:textFill>
            <w14:solidFill>
              <w14:schemeClr w14:val="tx1"/>
            </w14:solidFill>
          </w14:textFill>
        </w:rPr>
      </w:pPr>
      <w:r>
        <w:rPr>
          <w:rFonts w:hint="eastAsia" w:ascii="Times New Roman" w:hAnsi="Times New Roman" w:eastAsia="仿宋_GB2312" w:cs="仿宋_GB2312"/>
          <w:color w:val="000000" w:themeColor="text1"/>
          <w:sz w:val="32"/>
          <w:szCs w:val="32"/>
          <w:lang w:val="zh-CN"/>
          <w14:textFill>
            <w14:solidFill>
              <w14:schemeClr w14:val="tx1"/>
            </w14:solidFill>
          </w14:textFill>
        </w:rPr>
        <w:t>2025年，四川攀枝花国家粮食储备库承担市级储备稻谷4000吨、小包装粮1920吨，小包装油252吨，其中，2025年度轮换市级储备稻谷1459吨；四川攀枝花大水井粮食省粮食储备库承担市级储备小麦4700吨、小包装粮1000吨，小包装面粉300吨，小包装油130吨，其中，2025年度轮换市级储备小麦1687.49吨；攀枝花密地国家粮食储备库承担市级储备小包装油218吨；攀枝花现代农业有限公司承担市级储备小包装油500吨，散装植物食用油800吨。</w:t>
      </w:r>
      <w:r>
        <w:rPr>
          <w:rFonts w:hint="eastAsia" w:ascii="Times New Roman" w:hAnsi="Times New Roman" w:eastAsia="仿宋_GB2312" w:cs="仿宋_GB2312"/>
          <w:color w:val="000000" w:themeColor="text1"/>
          <w:sz w:val="32"/>
          <w:szCs w:val="32"/>
          <w14:textFill>
            <w14:solidFill>
              <w14:schemeClr w14:val="tx1"/>
            </w14:solidFill>
          </w14:textFill>
        </w:rPr>
        <w:t>4家单位</w:t>
      </w:r>
      <w:r>
        <w:rPr>
          <w:rFonts w:hint="eastAsia" w:ascii="Times New Roman" w:hAnsi="Times New Roman" w:eastAsia="仿宋_GB2312" w:cs="仿宋_GB2312"/>
          <w:color w:val="000000" w:themeColor="text1"/>
          <w:sz w:val="32"/>
          <w:szCs w:val="32"/>
          <w:lang w:val="zh-CN"/>
          <w14:textFill>
            <w14:solidFill>
              <w14:schemeClr w14:val="tx1"/>
            </w14:solidFill>
          </w14:textFill>
        </w:rPr>
        <w:t>均完成相关储备任务，保障了数量、质量；进度合理；充分运用资金，资金无结余；均无违规记录。同时，2025年对市本级政策性储备粮油（含省级在攀前置储备粮）开展质量检验并出具CMA认证《质检报告》</w:t>
      </w:r>
      <w:r>
        <w:rPr>
          <w:rFonts w:hint="eastAsia" w:ascii="Times New Roman" w:hAnsi="Times New Roman" w:eastAsia="仿宋_GB2312" w:cs="仿宋_GB2312"/>
          <w:color w:val="000000" w:themeColor="text1"/>
          <w:sz w:val="32"/>
          <w:szCs w:val="32"/>
          <w14:textFill>
            <w14:solidFill>
              <w14:schemeClr w14:val="tx1"/>
            </w14:solidFill>
          </w14:textFill>
        </w:rPr>
        <w:t>214</w:t>
      </w:r>
      <w:r>
        <w:rPr>
          <w:rFonts w:hint="eastAsia" w:ascii="Times New Roman" w:hAnsi="Times New Roman" w:eastAsia="仿宋_GB2312" w:cs="仿宋_GB2312"/>
          <w:color w:val="000000" w:themeColor="text1"/>
          <w:sz w:val="32"/>
          <w:szCs w:val="32"/>
          <w:lang w:val="zh-CN"/>
          <w14:textFill>
            <w14:solidFill>
              <w14:schemeClr w14:val="tx1"/>
            </w14:solidFill>
          </w14:textFill>
        </w:rPr>
        <w:t>个批次，检验进度合理；充分运用资金，资金无结余；无违规记录。</w:t>
      </w:r>
    </w:p>
    <w:p w14:paraId="52183D1B">
      <w:pPr>
        <w:keepNext w:val="0"/>
        <w:keepLines w:val="0"/>
        <w:pageBreakBefore w:val="0"/>
        <w:widowControl w:val="0"/>
        <w:kinsoku/>
        <w:wordWrap/>
        <w:overflowPunct/>
        <w:topLinePunct w:val="0"/>
        <w:autoSpaceDE/>
        <w:autoSpaceDN/>
        <w:bidi w:val="0"/>
        <w:adjustRightInd w:val="0"/>
        <w:snapToGrid w:val="0"/>
        <w:spacing w:line="600" w:lineRule="exact"/>
        <w:ind w:firstLine="643" w:firstLineChars="200"/>
        <w:textAlignment w:val="auto"/>
        <w:rPr>
          <w:rFonts w:hint="eastAsia" w:eastAsia="楷体_GB2312" w:cs="楷体_GB2312"/>
          <w:b/>
          <w:color w:val="000000" w:themeColor="text1"/>
          <w:sz w:val="32"/>
          <w:szCs w:val="32"/>
          <w:lang w:val="zh-CN"/>
          <w14:textFill>
            <w14:solidFill>
              <w14:schemeClr w14:val="tx1"/>
            </w14:solidFill>
          </w14:textFill>
        </w:rPr>
      </w:pPr>
      <w:r>
        <w:rPr>
          <w:rFonts w:hint="eastAsia" w:eastAsia="楷体_GB2312" w:cs="楷体_GB2312"/>
          <w:b/>
          <w:color w:val="000000" w:themeColor="text1"/>
          <w:sz w:val="32"/>
          <w:szCs w:val="32"/>
          <w:lang w:val="zh-CN"/>
          <w14:textFill>
            <w14:solidFill>
              <w14:schemeClr w14:val="tx1"/>
            </w14:solidFill>
          </w14:textFill>
        </w:rPr>
        <w:t>（二）项目效益情况</w:t>
      </w:r>
    </w:p>
    <w:p w14:paraId="3D4D65E5">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eastAsia" w:ascii="Times New Roman" w:hAnsi="Times New Roman" w:eastAsia="仿宋_GB2312" w:cs="仿宋_GB2312"/>
          <w:color w:val="000000" w:themeColor="text1"/>
          <w:sz w:val="32"/>
          <w:szCs w:val="32"/>
          <w:lang w:val="zh-CN"/>
          <w14:textFill>
            <w14:solidFill>
              <w14:schemeClr w14:val="tx1"/>
            </w14:solidFill>
          </w14:textFill>
        </w:rPr>
      </w:pPr>
      <w:r>
        <w:rPr>
          <w:rFonts w:hint="eastAsia" w:ascii="Times New Roman" w:hAnsi="Times New Roman" w:eastAsia="仿宋_GB2312" w:cs="仿宋_GB2312"/>
          <w:color w:val="000000" w:themeColor="text1"/>
          <w:sz w:val="32"/>
          <w:szCs w:val="32"/>
          <w:lang w:val="zh-CN"/>
          <w14:textFill>
            <w14:solidFill>
              <w14:schemeClr w14:val="tx1"/>
            </w14:solidFill>
          </w14:textFill>
        </w:rPr>
        <w:t>经济效益：政策性储备粮储备为政府任务，市级储备粮油各类费用补贴低，各单位所获费用仅能用于贷款利息、人工支出、保管费用等基本支出，承储企业亏损严重，无经济效益。</w:t>
      </w:r>
    </w:p>
    <w:p w14:paraId="496957EE">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eastAsia" w:ascii="Times New Roman" w:hAnsi="Times New Roman" w:eastAsia="仿宋_GB2312" w:cs="仿宋_GB2312"/>
          <w:color w:val="000000" w:themeColor="text1"/>
          <w:sz w:val="32"/>
          <w:szCs w:val="32"/>
          <w:lang w:val="zh-CN"/>
          <w14:textFill>
            <w14:solidFill>
              <w14:schemeClr w14:val="tx1"/>
            </w14:solidFill>
          </w14:textFill>
        </w:rPr>
      </w:pPr>
      <w:r>
        <w:rPr>
          <w:rFonts w:hint="eastAsia" w:ascii="Times New Roman" w:hAnsi="Times New Roman" w:eastAsia="仿宋_GB2312" w:cs="仿宋_GB2312"/>
          <w:color w:val="000000" w:themeColor="text1"/>
          <w:sz w:val="32"/>
          <w:szCs w:val="32"/>
          <w:lang w:val="zh-CN"/>
          <w14:textFill>
            <w14:solidFill>
              <w14:schemeClr w14:val="tx1"/>
            </w14:solidFill>
          </w14:textFill>
        </w:rPr>
        <w:t>社会效益：各单位完成了储备任务及轮换任务，保证了粮食的安全供给，对抑制价格波动起到一定作用，同时，储备任务的完成，为应急情况下群众口粮提供了坚实保障。2025年共质检214个批次，未发生问题粮食流入口粮市场情况，保障储备粮油质量。</w:t>
      </w:r>
    </w:p>
    <w:p w14:paraId="1BE9B1C2">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eastAsia" w:ascii="Times New Roman" w:hAnsi="Times New Roman" w:eastAsia="仿宋_GB2312" w:cs="仿宋_GB2312"/>
          <w:color w:val="000000" w:themeColor="text1"/>
          <w:sz w:val="32"/>
          <w:szCs w:val="32"/>
          <w:lang w:val="zh-CN"/>
          <w14:textFill>
            <w14:solidFill>
              <w14:schemeClr w14:val="tx1"/>
            </w14:solidFill>
          </w14:textFill>
        </w:rPr>
      </w:pPr>
      <w:r>
        <w:rPr>
          <w:rFonts w:hint="eastAsia" w:ascii="Times New Roman" w:hAnsi="Times New Roman" w:eastAsia="仿宋_GB2312" w:cs="仿宋_GB2312"/>
          <w:color w:val="000000" w:themeColor="text1"/>
          <w:sz w:val="32"/>
          <w:szCs w:val="32"/>
          <w:lang w:val="zh-CN"/>
          <w14:textFill>
            <w14:solidFill>
              <w14:schemeClr w14:val="tx1"/>
            </w14:solidFill>
          </w14:textFill>
        </w:rPr>
        <w:t>生态效益：利用低温储粮技术，提高了储备粮食品质，加强了绿色储粮的管理。</w:t>
      </w:r>
    </w:p>
    <w:p w14:paraId="42DD05E2">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eastAsia" w:ascii="Times New Roman" w:hAnsi="Times New Roman" w:eastAsia="仿宋_GB2312" w:cs="仿宋_GB2312"/>
          <w:color w:val="000000" w:themeColor="text1"/>
          <w:sz w:val="32"/>
          <w:szCs w:val="32"/>
          <w:lang w:val="zh-CN"/>
          <w14:textFill>
            <w14:solidFill>
              <w14:schemeClr w14:val="tx1"/>
            </w14:solidFill>
          </w14:textFill>
        </w:rPr>
      </w:pPr>
      <w:r>
        <w:rPr>
          <w:rFonts w:hint="eastAsia" w:ascii="Times New Roman" w:hAnsi="Times New Roman" w:eastAsia="仿宋_GB2312" w:cs="仿宋_GB2312"/>
          <w:color w:val="000000" w:themeColor="text1"/>
          <w:sz w:val="32"/>
          <w:szCs w:val="32"/>
          <w:lang w:val="zh-CN"/>
          <w14:textFill>
            <w14:solidFill>
              <w14:schemeClr w14:val="tx1"/>
            </w14:solidFill>
          </w14:textFill>
        </w:rPr>
        <w:t>可持续效益：未发现储备粮油指标超标情况，储备粮油质量良好，保障群众舌尖上的安全。</w:t>
      </w:r>
    </w:p>
    <w:p w14:paraId="3655D54E">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eastAsia" w:ascii="黑体" w:hAnsi="黑体" w:eastAsia="黑体" w:cs="黑体"/>
          <w:color w:val="000000" w:themeColor="text1"/>
          <w:sz w:val="32"/>
          <w:szCs w:val="32"/>
          <w14:textFill>
            <w14:solidFill>
              <w14:schemeClr w14:val="tx1"/>
            </w14:solidFill>
          </w14:textFill>
        </w:rPr>
      </w:pPr>
      <w:r>
        <w:rPr>
          <w:rFonts w:hint="eastAsia" w:ascii="黑体" w:hAnsi="黑体" w:eastAsia="黑体" w:cs="黑体"/>
          <w:color w:val="000000" w:themeColor="text1"/>
          <w:sz w:val="32"/>
          <w:szCs w:val="32"/>
          <w14:textFill>
            <w14:solidFill>
              <w14:schemeClr w14:val="tx1"/>
            </w14:solidFill>
          </w14:textFill>
        </w:rPr>
        <w:t>五、评价结论及建议</w:t>
      </w:r>
    </w:p>
    <w:p w14:paraId="0E3BD58E">
      <w:pPr>
        <w:keepNext w:val="0"/>
        <w:keepLines w:val="0"/>
        <w:pageBreakBefore w:val="0"/>
        <w:widowControl w:val="0"/>
        <w:kinsoku/>
        <w:wordWrap/>
        <w:overflowPunct/>
        <w:topLinePunct w:val="0"/>
        <w:autoSpaceDE/>
        <w:autoSpaceDN/>
        <w:bidi w:val="0"/>
        <w:adjustRightInd w:val="0"/>
        <w:snapToGrid w:val="0"/>
        <w:spacing w:line="600" w:lineRule="exact"/>
        <w:ind w:firstLine="643" w:firstLineChars="200"/>
        <w:textAlignment w:val="auto"/>
        <w:rPr>
          <w:rFonts w:hint="eastAsia" w:eastAsia="楷体_GB2312" w:cs="楷体_GB2312"/>
          <w:b/>
          <w:color w:val="000000" w:themeColor="text1"/>
          <w:sz w:val="32"/>
          <w:szCs w:val="32"/>
          <w:lang w:val="zh-CN"/>
          <w14:textFill>
            <w14:solidFill>
              <w14:schemeClr w14:val="tx1"/>
            </w14:solidFill>
          </w14:textFill>
        </w:rPr>
      </w:pPr>
      <w:r>
        <w:rPr>
          <w:rFonts w:hint="eastAsia" w:eastAsia="楷体_GB2312" w:cs="楷体_GB2312"/>
          <w:b/>
          <w:color w:val="000000" w:themeColor="text1"/>
          <w:sz w:val="32"/>
          <w:szCs w:val="32"/>
          <w:lang w:val="zh-CN"/>
          <w14:textFill>
            <w14:solidFill>
              <w14:schemeClr w14:val="tx1"/>
            </w14:solidFill>
          </w14:textFill>
        </w:rPr>
        <w:t>（一）评价结论</w:t>
      </w:r>
    </w:p>
    <w:p w14:paraId="414D802A">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eastAsia" w:ascii="Times New Roman" w:hAnsi="Times New Roman" w:eastAsia="仿宋_GB2312" w:cs="仿宋_GB2312"/>
          <w:color w:val="000000" w:themeColor="text1"/>
          <w:sz w:val="32"/>
          <w:szCs w:val="32"/>
          <w:bdr w:val="single" w:color="000000" w:sz="4" w:space="0"/>
          <w:lang w:val="zh-CN"/>
          <w14:textFill>
            <w14:solidFill>
              <w14:schemeClr w14:val="tx1"/>
            </w14:solidFill>
          </w14:textFill>
        </w:rPr>
      </w:pPr>
      <w:r>
        <w:rPr>
          <w:rFonts w:hint="eastAsia" w:ascii="Times New Roman" w:hAnsi="Times New Roman" w:eastAsia="仿宋_GB2312" w:cs="仿宋_GB2312"/>
          <w:color w:val="000000" w:themeColor="text1"/>
          <w:sz w:val="32"/>
          <w:szCs w:val="32"/>
          <w:lang w:val="zh-CN"/>
          <w14:textFill>
            <w14:solidFill>
              <w14:schemeClr w14:val="tx1"/>
            </w14:solidFill>
          </w14:textFill>
        </w:rPr>
        <w:t>市级储备粮油项目及第三方粮油检验监测项目的完成，确保了储备粮数量真实、质量良好、储存安全和管理规范，对粮油市场稳定贡献了力量，并为群众应急口粮提供了坚实保障。</w:t>
      </w:r>
    </w:p>
    <w:p w14:paraId="270D2EF1">
      <w:pPr>
        <w:keepNext w:val="0"/>
        <w:keepLines w:val="0"/>
        <w:pageBreakBefore w:val="0"/>
        <w:widowControl w:val="0"/>
        <w:kinsoku/>
        <w:wordWrap/>
        <w:overflowPunct/>
        <w:topLinePunct w:val="0"/>
        <w:autoSpaceDE/>
        <w:autoSpaceDN/>
        <w:bidi w:val="0"/>
        <w:adjustRightInd w:val="0"/>
        <w:snapToGrid w:val="0"/>
        <w:spacing w:line="600" w:lineRule="exact"/>
        <w:ind w:firstLine="643" w:firstLineChars="200"/>
        <w:textAlignment w:val="auto"/>
        <w:rPr>
          <w:rFonts w:hint="eastAsia" w:eastAsia="楷体_GB2312" w:cs="楷体_GB2312"/>
          <w:b/>
          <w:color w:val="000000" w:themeColor="text1"/>
          <w:sz w:val="32"/>
          <w:szCs w:val="32"/>
          <w:lang w:val="zh-CN"/>
          <w14:textFill>
            <w14:solidFill>
              <w14:schemeClr w14:val="tx1"/>
            </w14:solidFill>
          </w14:textFill>
        </w:rPr>
      </w:pPr>
      <w:r>
        <w:rPr>
          <w:rFonts w:hint="eastAsia" w:eastAsia="楷体_GB2312" w:cs="楷体_GB2312"/>
          <w:b/>
          <w:color w:val="000000" w:themeColor="text1"/>
          <w:sz w:val="32"/>
          <w:szCs w:val="32"/>
          <w:lang w:val="zh-CN"/>
          <w14:textFill>
            <w14:solidFill>
              <w14:schemeClr w14:val="tx1"/>
            </w14:solidFill>
          </w14:textFill>
        </w:rPr>
        <w:t>（二）存在的问题</w:t>
      </w:r>
    </w:p>
    <w:p w14:paraId="75A30281">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eastAsia" w:ascii="Times New Roman" w:hAnsi="Times New Roman" w:eastAsia="仿宋_GB2312" w:cs="仿宋_GB2312"/>
          <w:color w:val="000000" w:themeColor="text1"/>
          <w:sz w:val="32"/>
          <w:szCs w:val="32"/>
          <w:lang w:val="zh-CN"/>
          <w14:textFill>
            <w14:solidFill>
              <w14:schemeClr w14:val="tx1"/>
            </w14:solidFill>
          </w14:textFill>
        </w:rPr>
      </w:pPr>
      <w:r>
        <w:rPr>
          <w:rFonts w:hint="eastAsia" w:ascii="Times New Roman" w:hAnsi="Times New Roman" w:eastAsia="仿宋_GB2312" w:cs="仿宋_GB2312"/>
          <w:color w:val="000000" w:themeColor="text1"/>
          <w:sz w:val="32"/>
          <w:szCs w:val="32"/>
          <w:lang w:val="zh-CN"/>
          <w14:textFill>
            <w14:solidFill>
              <w14:schemeClr w14:val="tx1"/>
            </w14:solidFill>
          </w14:textFill>
        </w:rPr>
        <w:t>一是各粮库仓库设施老化，需投入大量资金进行维修；二是企业经营单一，市级储备保管、轮换等费用补贴低，企业亏损，效益较差。</w:t>
      </w:r>
      <w:r>
        <w:rPr>
          <w:rFonts w:hint="eastAsia" w:ascii="Times New Roman" w:hAnsi="Times New Roman" w:eastAsia="仿宋_GB2312" w:cs="仿宋_GB2312"/>
          <w:color w:val="000000" w:themeColor="text1"/>
          <w:sz w:val="32"/>
          <w:szCs w:val="32"/>
          <w:lang w:val="zh-CN"/>
          <w14:textFill>
            <w14:solidFill>
              <w14:schemeClr w14:val="tx1"/>
            </w14:solidFill>
          </w14:textFill>
        </w:rPr>
        <w:tab/>
      </w:r>
    </w:p>
    <w:p w14:paraId="4E203A75">
      <w:pPr>
        <w:keepNext w:val="0"/>
        <w:keepLines w:val="0"/>
        <w:pageBreakBefore w:val="0"/>
        <w:widowControl w:val="0"/>
        <w:kinsoku/>
        <w:wordWrap/>
        <w:overflowPunct/>
        <w:topLinePunct w:val="0"/>
        <w:autoSpaceDE/>
        <w:autoSpaceDN/>
        <w:bidi w:val="0"/>
        <w:adjustRightInd w:val="0"/>
        <w:snapToGrid w:val="0"/>
        <w:spacing w:line="600" w:lineRule="exact"/>
        <w:ind w:firstLine="643" w:firstLineChars="200"/>
        <w:textAlignment w:val="auto"/>
        <w:rPr>
          <w:rFonts w:hint="eastAsia" w:eastAsia="楷体_GB2312" w:cs="楷体_GB2312"/>
          <w:b/>
          <w:color w:val="000000" w:themeColor="text1"/>
          <w:sz w:val="32"/>
          <w:szCs w:val="32"/>
          <w:lang w:val="zh-CN"/>
          <w14:textFill>
            <w14:solidFill>
              <w14:schemeClr w14:val="tx1"/>
            </w14:solidFill>
          </w14:textFill>
        </w:rPr>
      </w:pPr>
      <w:r>
        <w:rPr>
          <w:rFonts w:hint="eastAsia" w:eastAsia="楷体_GB2312" w:cs="楷体_GB2312"/>
          <w:b/>
          <w:color w:val="000000" w:themeColor="text1"/>
          <w:sz w:val="32"/>
          <w:szCs w:val="32"/>
          <w:lang w:val="zh-CN"/>
          <w14:textFill>
            <w14:solidFill>
              <w14:schemeClr w14:val="tx1"/>
            </w14:solidFill>
          </w14:textFill>
        </w:rPr>
        <w:t>（三）相关建议</w:t>
      </w:r>
    </w:p>
    <w:p w14:paraId="544DB973">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eastAsia" w:ascii="Times New Roman" w:hAnsi="Times New Roman" w:eastAsia="仿宋_GB2312" w:cs="仿宋_GB2312"/>
          <w:color w:val="000000" w:themeColor="text1"/>
          <w:kern w:val="0"/>
          <w:sz w:val="32"/>
          <w:szCs w:val="32"/>
          <w14:textFill>
            <w14:solidFill>
              <w14:schemeClr w14:val="tx1"/>
            </w14:solidFill>
          </w14:textFill>
        </w:rPr>
      </w:pPr>
      <w:r>
        <w:rPr>
          <w:rFonts w:hint="eastAsia" w:ascii="Times New Roman" w:hAnsi="Times New Roman" w:eastAsia="仿宋_GB2312" w:cs="仿宋_GB2312"/>
          <w:color w:val="000000" w:themeColor="text1"/>
          <w:sz w:val="32"/>
          <w:szCs w:val="32"/>
          <w:lang w:val="zh-CN"/>
          <w14:textFill>
            <w14:solidFill>
              <w14:schemeClr w14:val="tx1"/>
            </w14:solidFill>
          </w14:textFill>
        </w:rPr>
        <w:t>一是市财政按计划按时拨付项目资金，保障企业运行；二是对仓房维修等项目增强资金投入。三是适度增加保管费、轮换费等补贴，提升企业部分营收。</w:t>
      </w:r>
    </w:p>
    <w:p w14:paraId="5A2F023E">
      <w:pPr>
        <w:spacing w:line="578" w:lineRule="exact"/>
        <w:ind w:firstLine="640"/>
        <w:rPr>
          <w:rFonts w:eastAsia="仿宋_GB2312" w:cs="仿宋_GB2312"/>
          <w:color w:val="000000" w:themeColor="text1"/>
          <w:kern w:val="0"/>
          <w:sz w:val="32"/>
          <w:szCs w:val="32"/>
          <w14:textFill>
            <w14:solidFill>
              <w14:schemeClr w14:val="tx1"/>
            </w14:solidFill>
          </w14:textFill>
        </w:rPr>
      </w:pPr>
      <w:bookmarkStart w:id="70" w:name="_Toc15396618"/>
      <w:r>
        <w:rPr>
          <w:rFonts w:hint="eastAsia" w:eastAsia="仿宋_GB2312" w:cs="仿宋_GB2312"/>
          <w:color w:val="000000" w:themeColor="text1"/>
          <w:kern w:val="0"/>
          <w:sz w:val="32"/>
          <w:szCs w:val="32"/>
          <w14:textFill>
            <w14:solidFill>
              <w14:schemeClr w14:val="tx1"/>
            </w14:solidFill>
          </w14:textFill>
        </w:rPr>
        <w:br w:type="page"/>
      </w:r>
    </w:p>
    <w:p w14:paraId="23C230B1">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eastAsia="方正小标宋简体"/>
          <w:color w:val="000000" w:themeColor="text1"/>
          <w:sz w:val="44"/>
          <w:szCs w:val="44"/>
          <w14:textFill>
            <w14:solidFill>
              <w14:schemeClr w14:val="tx1"/>
            </w14:solidFill>
          </w14:textFill>
        </w:rPr>
      </w:pPr>
      <w:r>
        <w:rPr>
          <w:rFonts w:hint="eastAsia" w:eastAsia="方正小标宋简体"/>
          <w:color w:val="000000" w:themeColor="text1"/>
          <w:sz w:val="44"/>
          <w:szCs w:val="44"/>
          <w14:textFill>
            <w14:solidFill>
              <w14:schemeClr w14:val="tx1"/>
            </w14:solidFill>
          </w14:textFill>
        </w:rPr>
        <w:t>规划及重大前期经费专项预算项目支出</w:t>
      </w:r>
    </w:p>
    <w:p w14:paraId="5CD0B2EF">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eastAsia="方正小标宋简体"/>
          <w:color w:val="000000" w:themeColor="text1"/>
          <w:sz w:val="44"/>
          <w:szCs w:val="44"/>
          <w14:textFill>
            <w14:solidFill>
              <w14:schemeClr w14:val="tx1"/>
            </w14:solidFill>
          </w14:textFill>
        </w:rPr>
      </w:pPr>
      <w:r>
        <w:rPr>
          <w:rFonts w:hint="eastAsia" w:eastAsia="方正小标宋简体"/>
          <w:color w:val="000000" w:themeColor="text1"/>
          <w:sz w:val="44"/>
          <w:szCs w:val="44"/>
          <w14:textFill>
            <w14:solidFill>
              <w14:schemeClr w14:val="tx1"/>
            </w14:solidFill>
          </w14:textFill>
        </w:rPr>
        <w:t>绩效自评报告</w:t>
      </w:r>
    </w:p>
    <w:p w14:paraId="0C5715F5">
      <w:pPr>
        <w:adjustRightInd w:val="0"/>
        <w:snapToGrid w:val="0"/>
        <w:spacing w:line="640" w:lineRule="exact"/>
        <w:ind w:firstLine="640" w:firstLineChars="200"/>
        <w:rPr>
          <w:rFonts w:eastAsia="黑体" w:cs="黑体"/>
          <w:color w:val="000000" w:themeColor="text1"/>
          <w:sz w:val="32"/>
          <w:szCs w:val="32"/>
          <w14:textFill>
            <w14:solidFill>
              <w14:schemeClr w14:val="tx1"/>
            </w14:solidFill>
          </w14:textFill>
        </w:rPr>
      </w:pPr>
    </w:p>
    <w:p w14:paraId="60937AEB">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eastAsia" w:ascii="黑体" w:hAnsi="黑体" w:eastAsia="黑体" w:cs="黑体"/>
          <w:color w:val="000000" w:themeColor="text1"/>
          <w:sz w:val="32"/>
          <w:szCs w:val="32"/>
          <w:lang w:val="zh-CN"/>
          <w14:textFill>
            <w14:solidFill>
              <w14:schemeClr w14:val="tx1"/>
            </w14:solidFill>
          </w14:textFill>
        </w:rPr>
      </w:pPr>
      <w:r>
        <w:rPr>
          <w:rFonts w:hint="eastAsia" w:ascii="黑体" w:hAnsi="黑体" w:eastAsia="黑体" w:cs="黑体"/>
          <w:color w:val="000000" w:themeColor="text1"/>
          <w:sz w:val="32"/>
          <w:szCs w:val="32"/>
          <w14:textFill>
            <w14:solidFill>
              <w14:schemeClr w14:val="tx1"/>
            </w14:solidFill>
          </w14:textFill>
        </w:rPr>
        <w:t>一、</w:t>
      </w:r>
      <w:r>
        <w:rPr>
          <w:rFonts w:hint="eastAsia" w:ascii="黑体" w:hAnsi="黑体" w:eastAsia="黑体" w:cs="黑体"/>
          <w:color w:val="000000" w:themeColor="text1"/>
          <w:sz w:val="32"/>
          <w:szCs w:val="32"/>
          <w:lang w:val="zh-CN"/>
          <w14:textFill>
            <w14:solidFill>
              <w14:schemeClr w14:val="tx1"/>
            </w14:solidFill>
          </w14:textFill>
        </w:rPr>
        <w:t>项目概况</w:t>
      </w:r>
    </w:p>
    <w:p w14:paraId="7252F2D5">
      <w:pPr>
        <w:keepNext w:val="0"/>
        <w:keepLines w:val="0"/>
        <w:pageBreakBefore w:val="0"/>
        <w:widowControl w:val="0"/>
        <w:kinsoku/>
        <w:wordWrap/>
        <w:overflowPunct/>
        <w:topLinePunct w:val="0"/>
        <w:autoSpaceDE/>
        <w:autoSpaceDN/>
        <w:bidi w:val="0"/>
        <w:adjustRightInd w:val="0"/>
        <w:snapToGrid w:val="0"/>
        <w:spacing w:line="600" w:lineRule="exact"/>
        <w:ind w:firstLine="643" w:firstLineChars="200"/>
        <w:textAlignment w:val="auto"/>
        <w:rPr>
          <w:rFonts w:hint="eastAsia" w:eastAsia="楷体_GB2312" w:cs="楷体_GB2312"/>
          <w:b/>
          <w:color w:val="000000" w:themeColor="text1"/>
          <w:sz w:val="32"/>
          <w:szCs w:val="32"/>
          <w:lang w:val="zh-CN"/>
          <w14:textFill>
            <w14:solidFill>
              <w14:schemeClr w14:val="tx1"/>
            </w14:solidFill>
          </w14:textFill>
        </w:rPr>
      </w:pPr>
      <w:r>
        <w:rPr>
          <w:rFonts w:hint="eastAsia" w:eastAsia="楷体_GB2312" w:cs="楷体_GB2312"/>
          <w:b/>
          <w:color w:val="000000" w:themeColor="text1"/>
          <w:sz w:val="32"/>
          <w:szCs w:val="32"/>
          <w:lang w:val="zh-CN"/>
          <w14:textFill>
            <w14:solidFill>
              <w14:schemeClr w14:val="tx1"/>
            </w14:solidFill>
          </w14:textFill>
        </w:rPr>
        <w:t>（一）项目基本情况</w:t>
      </w:r>
    </w:p>
    <w:p w14:paraId="145F4548">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eastAsia" w:ascii="Times New Roman" w:hAnsi="Times New Roman" w:eastAsia="仿宋_GB2312" w:cs="仿宋_GB2312"/>
          <w:color w:val="000000" w:themeColor="text1"/>
          <w:kern w:val="0"/>
          <w:sz w:val="32"/>
          <w:szCs w:val="32"/>
          <w:lang w:val="zh-CN"/>
          <w14:textFill>
            <w14:solidFill>
              <w14:schemeClr w14:val="tx1"/>
            </w14:solidFill>
          </w14:textFill>
        </w:rPr>
      </w:pPr>
      <w:r>
        <w:rPr>
          <w:rFonts w:hint="eastAsia" w:ascii="Times New Roman" w:hAnsi="Times New Roman" w:eastAsia="仿宋_GB2312" w:cs="仿宋_GB2312"/>
          <w:color w:val="000000" w:themeColor="text1"/>
          <w:sz w:val="32"/>
          <w:szCs w:val="32"/>
          <w:lang w:val="zh-CN"/>
          <w14:textFill>
            <w14:solidFill>
              <w14:schemeClr w14:val="tx1"/>
            </w14:solidFill>
          </w14:textFill>
        </w:rPr>
        <w:t>1</w:t>
      </w:r>
      <w:r>
        <w:rPr>
          <w:rFonts w:hint="eastAsia" w:ascii="Times New Roman" w:hAnsi="Times New Roman" w:eastAsia="仿宋_GB2312" w:cs="仿宋_GB2312"/>
          <w:color w:val="000000" w:themeColor="text1"/>
          <w:sz w:val="32"/>
          <w:szCs w:val="32"/>
          <w14:textFill>
            <w14:solidFill>
              <w14:schemeClr w14:val="tx1"/>
            </w14:solidFill>
          </w14:textFill>
        </w:rPr>
        <w:t>.</w:t>
      </w:r>
      <w:r>
        <w:rPr>
          <w:rFonts w:hint="eastAsia" w:ascii="Times New Roman" w:hAnsi="Times New Roman" w:eastAsia="仿宋_GB2312" w:cs="仿宋_GB2312"/>
          <w:color w:val="000000" w:themeColor="text1"/>
          <w:sz w:val="32"/>
          <w:szCs w:val="32"/>
          <w:lang w:val="zh-CN"/>
          <w14:textFill>
            <w14:solidFill>
              <w14:schemeClr w14:val="tx1"/>
            </w14:solidFill>
          </w14:textFill>
        </w:rPr>
        <w:t>项目主管部门（单位）在该项目管理中的职能。</w:t>
      </w:r>
      <w:r>
        <w:rPr>
          <w:rFonts w:hint="eastAsia" w:ascii="Times New Roman" w:hAnsi="Times New Roman" w:eastAsia="仿宋_GB2312" w:cs="仿宋_GB2312"/>
          <w:color w:val="000000" w:themeColor="text1"/>
          <w:sz w:val="32"/>
          <w:szCs w:val="32"/>
          <w14:textFill>
            <w14:solidFill>
              <w14:schemeClr w14:val="tx1"/>
            </w14:solidFill>
          </w14:textFill>
        </w:rPr>
        <w:t>市发展改革委负责组织</w:t>
      </w:r>
      <w:r>
        <w:rPr>
          <w:rFonts w:hint="eastAsia" w:ascii="Times New Roman" w:hAnsi="Times New Roman" w:eastAsia="仿宋_GB2312" w:cs="仿宋_GB2312"/>
          <w:color w:val="000000" w:themeColor="text1"/>
          <w:sz w:val="32"/>
          <w:szCs w:val="32"/>
          <w:lang w:val="zh-CN"/>
          <w14:textFill>
            <w14:solidFill>
              <w14:schemeClr w14:val="tx1"/>
            </w14:solidFill>
          </w14:textFill>
        </w:rPr>
        <w:t>开展</w:t>
      </w:r>
      <w:r>
        <w:rPr>
          <w:rFonts w:hint="eastAsia" w:ascii="Times New Roman" w:hAnsi="Times New Roman" w:eastAsia="仿宋_GB2312" w:cs="仿宋_GB2312"/>
          <w:color w:val="000000" w:themeColor="text1"/>
          <w:sz w:val="32"/>
          <w:szCs w:val="32"/>
          <w14:textFill>
            <w14:solidFill>
              <w14:schemeClr w14:val="tx1"/>
            </w14:solidFill>
          </w14:textFill>
        </w:rPr>
        <w:t>2025年度市本级重大规划编制、重大项目前期包装策划等工作。</w:t>
      </w:r>
    </w:p>
    <w:p w14:paraId="1566264E">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eastAsia" w:ascii="Times New Roman" w:hAnsi="Times New Roman" w:eastAsia="仿宋_GB2312" w:cs="仿宋_GB2312"/>
          <w:color w:val="000000" w:themeColor="text1"/>
          <w:kern w:val="0"/>
          <w:sz w:val="32"/>
          <w:szCs w:val="32"/>
          <w:lang w:val="zh-CN"/>
          <w14:textFill>
            <w14:solidFill>
              <w14:schemeClr w14:val="tx1"/>
            </w14:solidFill>
          </w14:textFill>
        </w:rPr>
      </w:pPr>
      <w:r>
        <w:rPr>
          <w:rFonts w:hint="eastAsia" w:ascii="Times New Roman" w:hAnsi="Times New Roman" w:eastAsia="仿宋_GB2312" w:cs="仿宋_GB2312"/>
          <w:color w:val="000000" w:themeColor="text1"/>
          <w:sz w:val="32"/>
          <w:szCs w:val="32"/>
          <w14:textFill>
            <w14:solidFill>
              <w14:schemeClr w14:val="tx1"/>
            </w14:solidFill>
          </w14:textFill>
        </w:rPr>
        <w:t>2.</w:t>
      </w:r>
      <w:r>
        <w:rPr>
          <w:rFonts w:hint="eastAsia" w:ascii="Times New Roman" w:hAnsi="Times New Roman" w:eastAsia="仿宋_GB2312" w:cs="仿宋_GB2312"/>
          <w:color w:val="000000" w:themeColor="text1"/>
          <w:sz w:val="32"/>
          <w:szCs w:val="32"/>
          <w:lang w:val="zh-CN"/>
          <w14:textFill>
            <w14:solidFill>
              <w14:schemeClr w14:val="tx1"/>
            </w14:solidFill>
          </w14:textFill>
        </w:rPr>
        <w:t>项目立项、资金申报的依据。</w:t>
      </w:r>
      <w:r>
        <w:rPr>
          <w:rFonts w:hint="eastAsia" w:ascii="Times New Roman" w:hAnsi="Times New Roman" w:eastAsia="仿宋_GB2312" w:cs="仿宋_GB2312"/>
          <w:color w:val="000000" w:themeColor="text1"/>
          <w:sz w:val="32"/>
          <w:szCs w:val="32"/>
          <w14:textFill>
            <w14:solidFill>
              <w14:schemeClr w14:val="tx1"/>
            </w14:solidFill>
          </w14:textFill>
        </w:rPr>
        <w:t>2025年第100次市政府常务会议审议通过</w:t>
      </w:r>
      <w:r>
        <w:rPr>
          <w:rFonts w:hint="eastAsia" w:ascii="Times New Roman" w:hAnsi="Times New Roman" w:eastAsia="仿宋_GB2312" w:cs="仿宋_GB2312"/>
          <w:color w:val="000000" w:themeColor="text1"/>
          <w:sz w:val="32"/>
          <w:szCs w:val="32"/>
          <w:lang w:val="zh-CN"/>
          <w14:textFill>
            <w14:solidFill>
              <w14:schemeClr w14:val="tx1"/>
            </w14:solidFill>
          </w14:textFill>
        </w:rPr>
        <w:t>《</w:t>
      </w:r>
      <w:r>
        <w:rPr>
          <w:rFonts w:hint="eastAsia" w:ascii="Times New Roman" w:hAnsi="Times New Roman" w:eastAsia="仿宋_GB2312" w:cs="仿宋_GB2312"/>
          <w:color w:val="000000" w:themeColor="text1"/>
          <w:sz w:val="32"/>
          <w:szCs w:val="32"/>
          <w14:textFill>
            <w14:solidFill>
              <w14:schemeClr w14:val="tx1"/>
            </w14:solidFill>
          </w14:textFill>
        </w:rPr>
        <w:t>2025年攀枝花市规划及重大项目前期工作经费安排计划第一批</w:t>
      </w:r>
      <w:r>
        <w:rPr>
          <w:rFonts w:hint="eastAsia" w:ascii="Times New Roman" w:hAnsi="Times New Roman" w:eastAsia="仿宋_GB2312" w:cs="仿宋_GB2312"/>
          <w:color w:val="000000" w:themeColor="text1"/>
          <w:sz w:val="32"/>
          <w:szCs w:val="32"/>
          <w:lang w:val="zh-CN"/>
          <w14:textFill>
            <w14:solidFill>
              <w14:schemeClr w14:val="tx1"/>
            </w14:solidFill>
          </w14:textFill>
        </w:rPr>
        <w:t>》</w:t>
      </w:r>
      <w:r>
        <w:rPr>
          <w:rFonts w:hint="eastAsia" w:ascii="Times New Roman" w:hAnsi="Times New Roman" w:eastAsia="仿宋_GB2312" w:cs="仿宋_GB2312"/>
          <w:color w:val="000000" w:themeColor="text1"/>
          <w:sz w:val="32"/>
          <w:szCs w:val="32"/>
          <w14:textFill>
            <w14:solidFill>
              <w14:schemeClr w14:val="tx1"/>
            </w14:solidFill>
          </w14:textFill>
        </w:rPr>
        <w:t>。</w:t>
      </w:r>
    </w:p>
    <w:p w14:paraId="2CB93C30">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eastAsia" w:ascii="Times New Roman" w:hAnsi="Times New Roman" w:eastAsia="仿宋_GB2312" w:cs="仿宋_GB2312"/>
          <w:color w:val="000000" w:themeColor="text1"/>
          <w:kern w:val="0"/>
          <w:sz w:val="32"/>
          <w:szCs w:val="32"/>
          <w:lang w:val="zh-CN"/>
          <w14:textFill>
            <w14:solidFill>
              <w14:schemeClr w14:val="tx1"/>
            </w14:solidFill>
          </w14:textFill>
        </w:rPr>
      </w:pPr>
      <w:r>
        <w:rPr>
          <w:rFonts w:hint="eastAsia" w:ascii="Times New Roman" w:hAnsi="Times New Roman" w:eastAsia="仿宋_GB2312" w:cs="仿宋_GB2312"/>
          <w:color w:val="000000" w:themeColor="text1"/>
          <w:sz w:val="32"/>
          <w:szCs w:val="32"/>
          <w:lang w:val="zh-CN"/>
          <w14:textFill>
            <w14:solidFill>
              <w14:schemeClr w14:val="tx1"/>
            </w14:solidFill>
          </w14:textFill>
        </w:rPr>
        <w:t>3</w:t>
      </w:r>
      <w:r>
        <w:rPr>
          <w:rFonts w:hint="eastAsia" w:ascii="Times New Roman" w:hAnsi="Times New Roman" w:eastAsia="仿宋_GB2312" w:cs="仿宋_GB2312"/>
          <w:color w:val="000000" w:themeColor="text1"/>
          <w:sz w:val="32"/>
          <w:szCs w:val="32"/>
          <w14:textFill>
            <w14:solidFill>
              <w14:schemeClr w14:val="tx1"/>
            </w14:solidFill>
          </w14:textFill>
        </w:rPr>
        <w:t>.</w:t>
      </w:r>
      <w:r>
        <w:rPr>
          <w:rFonts w:hint="eastAsia" w:ascii="Times New Roman" w:hAnsi="Times New Roman" w:eastAsia="仿宋_GB2312" w:cs="仿宋_GB2312"/>
          <w:color w:val="000000" w:themeColor="text1"/>
          <w:sz w:val="32"/>
          <w:szCs w:val="32"/>
          <w:lang w:val="zh-CN"/>
          <w14:textFill>
            <w14:solidFill>
              <w14:schemeClr w14:val="tx1"/>
            </w14:solidFill>
          </w14:textFill>
        </w:rPr>
        <w:t>资金管理办法制定情况，资金支持具体项目的条件、范围与支持方式</w:t>
      </w:r>
      <w:r>
        <w:rPr>
          <w:rFonts w:hint="eastAsia" w:ascii="Times New Roman" w:hAnsi="Times New Roman" w:eastAsia="仿宋_GB2312" w:cs="仿宋_GB2312"/>
          <w:color w:val="000000" w:themeColor="text1"/>
          <w:sz w:val="32"/>
          <w:szCs w:val="32"/>
          <w14:textFill>
            <w14:solidFill>
              <w14:schemeClr w14:val="tx1"/>
            </w14:solidFill>
          </w14:textFill>
        </w:rPr>
        <w:t>概况</w:t>
      </w:r>
      <w:r>
        <w:rPr>
          <w:rFonts w:hint="eastAsia" w:ascii="Times New Roman" w:hAnsi="Times New Roman" w:eastAsia="仿宋_GB2312" w:cs="仿宋_GB2312"/>
          <w:color w:val="000000" w:themeColor="text1"/>
          <w:sz w:val="32"/>
          <w:szCs w:val="32"/>
          <w:lang w:val="zh-CN"/>
          <w14:textFill>
            <w14:solidFill>
              <w14:schemeClr w14:val="tx1"/>
            </w14:solidFill>
          </w14:textFill>
        </w:rPr>
        <w:t>。攀枝花市市本级重大项目前期包装策划工作经费由市财政拨款，2020年市政府办公室印发了《关于切实提高项目储备质量的通知》（攀办发〔2020〕67号），明确了“市财政局每年安排不低于1000万元的项目前期储备包装专项经费，重点用于市本级项目开展前期可行性研究、各项要件办理及相关专题咨询评估”。</w:t>
      </w:r>
    </w:p>
    <w:p w14:paraId="1EEA8368">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eastAsia" w:ascii="Times New Roman" w:hAnsi="Times New Roman" w:eastAsia="仿宋_GB2312" w:cs="仿宋_GB2312"/>
          <w:color w:val="000000" w:themeColor="text1"/>
          <w:kern w:val="0"/>
          <w:sz w:val="32"/>
          <w:szCs w:val="32"/>
          <w:lang w:val="zh-CN"/>
          <w14:textFill>
            <w14:solidFill>
              <w14:schemeClr w14:val="tx1"/>
            </w14:solidFill>
          </w14:textFill>
        </w:rPr>
      </w:pPr>
      <w:r>
        <w:rPr>
          <w:rFonts w:hint="eastAsia" w:ascii="Times New Roman" w:hAnsi="Times New Roman" w:eastAsia="仿宋_GB2312" w:cs="仿宋_GB2312"/>
          <w:color w:val="000000" w:themeColor="text1"/>
          <w:sz w:val="32"/>
          <w:szCs w:val="32"/>
          <w:lang w:val="zh-CN"/>
          <w14:textFill>
            <w14:solidFill>
              <w14:schemeClr w14:val="tx1"/>
            </w14:solidFill>
          </w14:textFill>
        </w:rPr>
        <w:t>4.资金分配的原则及考虑因素。资金分配符合《攀枝花市本级重大经济事项决策实施办法（试行）》及《攀枝花市规划及重大项目前期工作经费管理办法（试行）》相关规定。项目资金重点用于市本级项目开展前期可行性研究、各项要件办理及相关专题咨询评估。</w:t>
      </w:r>
    </w:p>
    <w:p w14:paraId="17A235B1">
      <w:pPr>
        <w:keepNext w:val="0"/>
        <w:keepLines w:val="0"/>
        <w:pageBreakBefore w:val="0"/>
        <w:widowControl w:val="0"/>
        <w:kinsoku/>
        <w:wordWrap/>
        <w:overflowPunct/>
        <w:topLinePunct w:val="0"/>
        <w:autoSpaceDE/>
        <w:autoSpaceDN/>
        <w:bidi w:val="0"/>
        <w:adjustRightInd w:val="0"/>
        <w:snapToGrid w:val="0"/>
        <w:spacing w:line="600" w:lineRule="exact"/>
        <w:ind w:firstLine="643" w:firstLineChars="200"/>
        <w:textAlignment w:val="auto"/>
        <w:rPr>
          <w:rFonts w:hint="eastAsia" w:eastAsia="楷体_GB2312" w:cs="楷体_GB2312"/>
          <w:b/>
          <w:color w:val="000000" w:themeColor="text1"/>
          <w:sz w:val="32"/>
          <w:szCs w:val="32"/>
          <w:lang w:val="zh-CN"/>
          <w14:textFill>
            <w14:solidFill>
              <w14:schemeClr w14:val="tx1"/>
            </w14:solidFill>
          </w14:textFill>
        </w:rPr>
      </w:pPr>
      <w:r>
        <w:rPr>
          <w:rFonts w:hint="eastAsia" w:eastAsia="楷体_GB2312" w:cs="楷体_GB2312"/>
          <w:b/>
          <w:color w:val="000000" w:themeColor="text1"/>
          <w:sz w:val="32"/>
          <w:szCs w:val="32"/>
          <w:lang w:val="zh-CN"/>
          <w14:textFill>
            <w14:solidFill>
              <w14:schemeClr w14:val="tx1"/>
            </w14:solidFill>
          </w14:textFill>
        </w:rPr>
        <w:t>（二）项目绩效目标</w:t>
      </w:r>
    </w:p>
    <w:p w14:paraId="646092E4">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eastAsia" w:ascii="Times New Roman" w:hAnsi="Times New Roman" w:eastAsia="仿宋_GB2312" w:cs="仿宋_GB2312"/>
          <w:color w:val="000000" w:themeColor="text1"/>
          <w:kern w:val="0"/>
          <w:sz w:val="32"/>
          <w:szCs w:val="32"/>
          <w:lang w:val="zh-CN"/>
          <w14:textFill>
            <w14:solidFill>
              <w14:schemeClr w14:val="tx1"/>
            </w14:solidFill>
          </w14:textFill>
        </w:rPr>
      </w:pPr>
      <w:r>
        <w:rPr>
          <w:rFonts w:hint="eastAsia" w:ascii="Times New Roman" w:hAnsi="Times New Roman" w:eastAsia="仿宋_GB2312" w:cs="仿宋_GB2312"/>
          <w:bCs/>
          <w:color w:val="000000" w:themeColor="text1"/>
          <w:sz w:val="32"/>
          <w:szCs w:val="32"/>
          <w:lang w:val="zh-CN"/>
          <w14:textFill>
            <w14:solidFill>
              <w14:schemeClr w14:val="tx1"/>
            </w14:solidFill>
          </w14:textFill>
        </w:rPr>
        <w:t>1.</w:t>
      </w:r>
      <w:r>
        <w:rPr>
          <w:rFonts w:hint="eastAsia" w:ascii="Times New Roman" w:hAnsi="Times New Roman" w:eastAsia="仿宋_GB2312" w:cs="仿宋_GB2312"/>
          <w:color w:val="000000" w:themeColor="text1"/>
          <w:sz w:val="32"/>
          <w:szCs w:val="32"/>
          <w:lang w:val="zh-CN"/>
          <w14:textFill>
            <w14:solidFill>
              <w14:schemeClr w14:val="tx1"/>
            </w14:solidFill>
          </w14:textFill>
        </w:rPr>
        <w:t>项目主要内容。按照《攀枝花市规划及重大项目前期工作经费管理办法（试行）》规定，扎实做好</w:t>
      </w:r>
      <w:r>
        <w:rPr>
          <w:rFonts w:hint="eastAsia" w:ascii="Times New Roman" w:hAnsi="Times New Roman" w:eastAsia="仿宋_GB2312" w:cs="仿宋_GB2312"/>
          <w:color w:val="000000" w:themeColor="text1"/>
          <w:sz w:val="32"/>
          <w:szCs w:val="32"/>
          <w14:textFill>
            <w14:solidFill>
              <w14:schemeClr w14:val="tx1"/>
            </w14:solidFill>
          </w14:textFill>
        </w:rPr>
        <w:t>2025年度市本级重大规划编制、重大项目前期包装策划工</w:t>
      </w:r>
      <w:r>
        <w:rPr>
          <w:rFonts w:hint="eastAsia" w:ascii="Times New Roman" w:hAnsi="Times New Roman" w:eastAsia="仿宋_GB2312" w:cs="仿宋_GB2312"/>
          <w:color w:val="000000" w:themeColor="text1"/>
          <w:sz w:val="32"/>
          <w:szCs w:val="32"/>
          <w:highlight w:val="none"/>
          <w14:textFill>
            <w14:solidFill>
              <w14:schemeClr w14:val="tx1"/>
            </w14:solidFill>
          </w14:textFill>
        </w:rPr>
        <w:t>作。2025年度</w:t>
      </w:r>
      <w:r>
        <w:rPr>
          <w:rFonts w:hint="eastAsia" w:ascii="Times New Roman" w:hAnsi="Times New Roman" w:eastAsia="仿宋_GB2312" w:cs="仿宋_GB2312"/>
          <w:color w:val="000000" w:themeColor="text1"/>
          <w:sz w:val="32"/>
          <w:szCs w:val="32"/>
          <w:highlight w:val="none"/>
          <w:lang w:val="en-US" w:eastAsia="zh-CN"/>
          <w14:textFill>
            <w14:solidFill>
              <w14:schemeClr w14:val="tx1"/>
            </w14:solidFill>
          </w14:textFill>
        </w:rPr>
        <w:t>财政下达我单位</w:t>
      </w:r>
      <w:r>
        <w:rPr>
          <w:rFonts w:hint="eastAsia" w:ascii="Times New Roman" w:hAnsi="Times New Roman" w:eastAsia="仿宋_GB2312" w:cs="仿宋_GB2312"/>
          <w:color w:val="000000" w:themeColor="text1"/>
          <w:sz w:val="32"/>
          <w:szCs w:val="32"/>
          <w:highlight w:val="none"/>
          <w14:textFill>
            <w14:solidFill>
              <w14:schemeClr w14:val="tx1"/>
            </w14:solidFill>
          </w14:textFill>
        </w:rPr>
        <w:t>市本级规划及重大项目前期工作经费570.12万元，</w:t>
      </w:r>
      <w:r>
        <w:rPr>
          <w:rFonts w:hint="eastAsia" w:ascii="Times New Roman" w:hAnsi="Times New Roman" w:eastAsia="仿宋_GB2312" w:cs="仿宋_GB2312"/>
          <w:color w:val="000000" w:themeColor="text1"/>
          <w:sz w:val="32"/>
          <w:szCs w:val="32"/>
          <w14:textFill>
            <w14:solidFill>
              <w14:schemeClr w14:val="tx1"/>
            </w14:solidFill>
          </w14:textFill>
        </w:rPr>
        <w:t>包括西部矿产品骨干流通走廊建设启动会项目、《昭攀铁路（攀枝花段）可行性研究报告》编制经费、申报资金项目咨询评估、2024—2025年市本级投资项目评估费等项目。</w:t>
      </w:r>
    </w:p>
    <w:p w14:paraId="49BC94C0">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eastAsia" w:ascii="Times New Roman" w:hAnsi="Times New Roman" w:eastAsia="仿宋_GB2312" w:cs="仿宋_GB2312"/>
          <w:color w:val="000000" w:themeColor="text1"/>
          <w:kern w:val="0"/>
          <w:sz w:val="32"/>
          <w:szCs w:val="32"/>
          <w:lang w:val="zh-CN"/>
          <w14:textFill>
            <w14:solidFill>
              <w14:schemeClr w14:val="tx1"/>
            </w14:solidFill>
          </w14:textFill>
        </w:rPr>
      </w:pPr>
      <w:r>
        <w:rPr>
          <w:rFonts w:hint="eastAsia" w:ascii="Times New Roman" w:hAnsi="Times New Roman" w:eastAsia="仿宋_GB2312" w:cs="仿宋_GB2312"/>
          <w:bCs/>
          <w:color w:val="000000" w:themeColor="text1"/>
          <w:sz w:val="32"/>
          <w:szCs w:val="32"/>
          <w:lang w:val="zh-CN"/>
          <w14:textFill>
            <w14:solidFill>
              <w14:schemeClr w14:val="tx1"/>
            </w14:solidFill>
          </w14:textFill>
        </w:rPr>
        <w:t>2.</w:t>
      </w:r>
      <w:r>
        <w:rPr>
          <w:rFonts w:hint="eastAsia" w:ascii="Times New Roman" w:hAnsi="Times New Roman" w:eastAsia="仿宋_GB2312" w:cs="仿宋_GB2312"/>
          <w:color w:val="000000" w:themeColor="text1"/>
          <w:sz w:val="32"/>
          <w:szCs w:val="32"/>
          <w:lang w:val="zh-CN"/>
          <w14:textFill>
            <w14:solidFill>
              <w14:schemeClr w14:val="tx1"/>
            </w14:solidFill>
          </w14:textFill>
        </w:rPr>
        <w:t>项目应实现的具体绩效目标。完成</w:t>
      </w:r>
      <w:r>
        <w:rPr>
          <w:rFonts w:hint="eastAsia" w:ascii="Times New Roman" w:hAnsi="Times New Roman" w:eastAsia="仿宋_GB2312" w:cs="仿宋_GB2312"/>
          <w:color w:val="000000" w:themeColor="text1"/>
          <w:sz w:val="32"/>
          <w:szCs w:val="32"/>
          <w14:textFill>
            <w14:solidFill>
              <w14:schemeClr w14:val="tx1"/>
            </w14:solidFill>
          </w14:textFill>
        </w:rPr>
        <w:t>2025年度</w:t>
      </w:r>
      <w:r>
        <w:rPr>
          <w:rFonts w:hint="eastAsia" w:ascii="Times New Roman" w:hAnsi="Times New Roman" w:eastAsia="仿宋_GB2312" w:cs="仿宋_GB2312"/>
          <w:color w:val="000000" w:themeColor="text1"/>
          <w:sz w:val="32"/>
          <w:szCs w:val="32"/>
          <w:lang w:val="zh-CN"/>
          <w14:textFill>
            <w14:solidFill>
              <w14:schemeClr w14:val="tx1"/>
            </w14:solidFill>
          </w14:textFill>
        </w:rPr>
        <w:t>规划编制及项目前期包装策划，强化向上争取资金及政策，推动重大项目加快前期工作，推进项目尽早开工建设。</w:t>
      </w:r>
    </w:p>
    <w:p w14:paraId="535774E5">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eastAsia" w:ascii="Times New Roman" w:hAnsi="Times New Roman" w:eastAsia="仿宋_GB2312" w:cs="仿宋_GB2312"/>
          <w:color w:val="000000" w:themeColor="text1"/>
          <w:kern w:val="0"/>
          <w:sz w:val="32"/>
          <w:szCs w:val="32"/>
          <w:lang w:val="zh-CN"/>
          <w14:textFill>
            <w14:solidFill>
              <w14:schemeClr w14:val="tx1"/>
            </w14:solidFill>
          </w14:textFill>
        </w:rPr>
      </w:pPr>
      <w:r>
        <w:rPr>
          <w:rFonts w:hint="eastAsia" w:ascii="Times New Roman" w:hAnsi="Times New Roman" w:eastAsia="仿宋_GB2312" w:cs="仿宋_GB2312"/>
          <w:bCs/>
          <w:color w:val="000000" w:themeColor="text1"/>
          <w:sz w:val="32"/>
          <w:szCs w:val="32"/>
          <w:lang w:val="zh-CN"/>
          <w14:textFill>
            <w14:solidFill>
              <w14:schemeClr w14:val="tx1"/>
            </w14:solidFill>
          </w14:textFill>
        </w:rPr>
        <w:t>3.</w:t>
      </w:r>
      <w:r>
        <w:rPr>
          <w:rFonts w:hint="eastAsia" w:ascii="Times New Roman" w:hAnsi="Times New Roman" w:eastAsia="仿宋_GB2312" w:cs="仿宋_GB2312"/>
          <w:color w:val="000000" w:themeColor="text1"/>
          <w:sz w:val="32"/>
          <w:szCs w:val="32"/>
          <w:lang w:val="zh-CN"/>
          <w14:textFill>
            <w14:solidFill>
              <w14:schemeClr w14:val="tx1"/>
            </w14:solidFill>
          </w14:textFill>
        </w:rPr>
        <w:t>申报内容与实际需求相符，目标设定符合行业技术发展趋势，资金预算合理。</w:t>
      </w:r>
    </w:p>
    <w:p w14:paraId="5B76DD56">
      <w:pPr>
        <w:keepNext w:val="0"/>
        <w:keepLines w:val="0"/>
        <w:pageBreakBefore w:val="0"/>
        <w:widowControl w:val="0"/>
        <w:kinsoku/>
        <w:wordWrap/>
        <w:overflowPunct/>
        <w:topLinePunct w:val="0"/>
        <w:autoSpaceDE/>
        <w:autoSpaceDN/>
        <w:bidi w:val="0"/>
        <w:adjustRightInd w:val="0"/>
        <w:snapToGrid w:val="0"/>
        <w:spacing w:line="600" w:lineRule="exact"/>
        <w:ind w:firstLine="643" w:firstLineChars="200"/>
        <w:textAlignment w:val="auto"/>
        <w:rPr>
          <w:rFonts w:hint="eastAsia" w:eastAsia="楷体_GB2312" w:cs="楷体_GB2312"/>
          <w:b/>
          <w:color w:val="000000" w:themeColor="text1"/>
          <w:sz w:val="32"/>
          <w:szCs w:val="32"/>
          <w:lang w:val="zh-CN"/>
          <w14:textFill>
            <w14:solidFill>
              <w14:schemeClr w14:val="tx1"/>
            </w14:solidFill>
          </w14:textFill>
        </w:rPr>
      </w:pPr>
      <w:r>
        <w:rPr>
          <w:rFonts w:hint="eastAsia" w:eastAsia="楷体_GB2312" w:cs="楷体_GB2312"/>
          <w:b/>
          <w:color w:val="000000" w:themeColor="text1"/>
          <w:sz w:val="32"/>
          <w:szCs w:val="32"/>
          <w:lang w:val="zh-CN"/>
          <w14:textFill>
            <w14:solidFill>
              <w14:schemeClr w14:val="tx1"/>
            </w14:solidFill>
          </w14:textFill>
        </w:rPr>
        <w:t>（三）项目自评步骤及方法</w:t>
      </w:r>
    </w:p>
    <w:p w14:paraId="437AF2B8">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eastAsia" w:ascii="Times New Roman" w:hAnsi="Times New Roman" w:eastAsia="仿宋_GB2312" w:cs="仿宋_GB2312"/>
          <w:color w:val="000000" w:themeColor="text1"/>
          <w:kern w:val="0"/>
          <w:sz w:val="32"/>
          <w:szCs w:val="32"/>
          <w:lang w:val="zh-CN"/>
          <w14:textFill>
            <w14:solidFill>
              <w14:schemeClr w14:val="tx1"/>
            </w14:solidFill>
          </w14:textFill>
        </w:rPr>
      </w:pPr>
      <w:r>
        <w:rPr>
          <w:rFonts w:hint="eastAsia" w:ascii="Times New Roman" w:hAnsi="Times New Roman" w:eastAsia="仿宋_GB2312" w:cs="仿宋_GB2312"/>
          <w:color w:val="000000" w:themeColor="text1"/>
          <w:sz w:val="32"/>
          <w:szCs w:val="32"/>
          <w:lang w:val="zh-CN"/>
          <w14:textFill>
            <w14:solidFill>
              <w14:schemeClr w14:val="tx1"/>
            </w14:solidFill>
          </w14:textFill>
        </w:rPr>
        <w:t>项目绩效自评采用定量分析（资金使用率、完成率）与定性分析（满意度调查）相结合。一是分析项目基本情况、项目绩效目标完成情况。二是收集项目资料填写部门预算项目支出绩效自评表。三是填写专项预算项目绩效评价指标体系评分表。四是组织编写项目自评报告。</w:t>
      </w:r>
    </w:p>
    <w:p w14:paraId="043B4D4E">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eastAsia" w:ascii="黑体" w:hAnsi="黑体" w:eastAsia="黑体" w:cs="黑体"/>
          <w:color w:val="000000" w:themeColor="text1"/>
          <w:sz w:val="32"/>
          <w:szCs w:val="32"/>
          <w14:textFill>
            <w14:solidFill>
              <w14:schemeClr w14:val="tx1"/>
            </w14:solidFill>
          </w14:textFill>
        </w:rPr>
      </w:pPr>
      <w:r>
        <w:rPr>
          <w:rFonts w:hint="eastAsia" w:ascii="黑体" w:hAnsi="黑体" w:eastAsia="黑体" w:cs="黑体"/>
          <w:color w:val="000000" w:themeColor="text1"/>
          <w:sz w:val="32"/>
          <w:szCs w:val="32"/>
          <w14:textFill>
            <w14:solidFill>
              <w14:schemeClr w14:val="tx1"/>
            </w14:solidFill>
          </w14:textFill>
        </w:rPr>
        <w:t>二、项目资金申报及使用情况</w:t>
      </w:r>
    </w:p>
    <w:p w14:paraId="5395ED0B">
      <w:pPr>
        <w:keepNext w:val="0"/>
        <w:keepLines w:val="0"/>
        <w:pageBreakBefore w:val="0"/>
        <w:widowControl w:val="0"/>
        <w:kinsoku/>
        <w:wordWrap/>
        <w:overflowPunct/>
        <w:topLinePunct w:val="0"/>
        <w:autoSpaceDE/>
        <w:autoSpaceDN/>
        <w:bidi w:val="0"/>
        <w:adjustRightInd w:val="0"/>
        <w:snapToGrid w:val="0"/>
        <w:spacing w:line="600" w:lineRule="exact"/>
        <w:ind w:firstLine="643" w:firstLineChars="200"/>
        <w:textAlignment w:val="auto"/>
        <w:rPr>
          <w:rFonts w:hint="eastAsia" w:eastAsia="楷体_GB2312" w:cs="楷体_GB2312"/>
          <w:b/>
          <w:color w:val="000000" w:themeColor="text1"/>
          <w:sz w:val="32"/>
          <w:szCs w:val="32"/>
          <w:lang w:val="zh-CN"/>
          <w14:textFill>
            <w14:solidFill>
              <w14:schemeClr w14:val="tx1"/>
            </w14:solidFill>
          </w14:textFill>
        </w:rPr>
      </w:pPr>
      <w:r>
        <w:rPr>
          <w:rFonts w:hint="eastAsia" w:eastAsia="楷体_GB2312" w:cs="楷体_GB2312"/>
          <w:b/>
          <w:color w:val="000000" w:themeColor="text1"/>
          <w:sz w:val="32"/>
          <w:szCs w:val="32"/>
          <w:lang w:val="zh-CN"/>
          <w14:textFill>
            <w14:solidFill>
              <w14:schemeClr w14:val="tx1"/>
            </w14:solidFill>
          </w14:textFill>
        </w:rPr>
        <w:t>（一）项目资金申报及批复情况</w:t>
      </w:r>
    </w:p>
    <w:p w14:paraId="58AD1883">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eastAsia" w:ascii="Times New Roman" w:hAnsi="Times New Roman" w:eastAsia="仿宋_GB2312" w:cs="仿宋_GB2312"/>
          <w:color w:val="000000" w:themeColor="text1"/>
          <w:kern w:val="0"/>
          <w:sz w:val="32"/>
          <w:szCs w:val="32"/>
          <w:lang w:val="zh-CN"/>
          <w14:textFill>
            <w14:solidFill>
              <w14:schemeClr w14:val="tx1"/>
            </w14:solidFill>
          </w14:textFill>
        </w:rPr>
      </w:pPr>
      <w:r>
        <w:rPr>
          <w:rFonts w:hint="eastAsia" w:ascii="Times New Roman" w:hAnsi="Times New Roman" w:eastAsia="仿宋_GB2312" w:cs="仿宋_GB2312"/>
          <w:color w:val="000000" w:themeColor="text1"/>
          <w:sz w:val="32"/>
          <w:szCs w:val="32"/>
          <w14:textFill>
            <w14:solidFill>
              <w14:schemeClr w14:val="tx1"/>
            </w14:solidFill>
          </w14:textFill>
        </w:rPr>
        <w:t>2025年，市级财政安排预算570.12万元，用于市本级重大规划编制、重大项目开展前期包装策划工作，包括《昭攀铁路（攀枝花段）可行性研究报告》编制经费、申报资金项目咨询评估、2024—2025年市本级投资项目评估费等项目。</w:t>
      </w:r>
    </w:p>
    <w:p w14:paraId="63FB5DA4">
      <w:pPr>
        <w:keepNext w:val="0"/>
        <w:keepLines w:val="0"/>
        <w:pageBreakBefore w:val="0"/>
        <w:widowControl w:val="0"/>
        <w:kinsoku/>
        <w:wordWrap/>
        <w:overflowPunct/>
        <w:topLinePunct w:val="0"/>
        <w:autoSpaceDE/>
        <w:autoSpaceDN/>
        <w:bidi w:val="0"/>
        <w:adjustRightInd w:val="0"/>
        <w:snapToGrid w:val="0"/>
        <w:spacing w:line="600" w:lineRule="exact"/>
        <w:ind w:firstLine="643" w:firstLineChars="200"/>
        <w:textAlignment w:val="auto"/>
        <w:rPr>
          <w:rFonts w:hint="eastAsia" w:ascii="Times New Roman" w:hAnsi="Times New Roman" w:eastAsia="仿宋_GB2312" w:cs="仿宋_GB2312"/>
          <w:b/>
          <w:color w:val="000000" w:themeColor="text1"/>
          <w:sz w:val="32"/>
          <w:szCs w:val="32"/>
          <w:lang w:val="zh-CN"/>
          <w14:textFill>
            <w14:solidFill>
              <w14:schemeClr w14:val="tx1"/>
            </w14:solidFill>
          </w14:textFill>
        </w:rPr>
      </w:pPr>
      <w:r>
        <w:rPr>
          <w:rFonts w:hint="eastAsia" w:eastAsia="楷体_GB2312" w:cs="楷体_GB2312"/>
          <w:b/>
          <w:color w:val="000000" w:themeColor="text1"/>
          <w:sz w:val="32"/>
          <w:szCs w:val="32"/>
          <w:lang w:val="zh-CN"/>
          <w14:textFill>
            <w14:solidFill>
              <w14:schemeClr w14:val="tx1"/>
            </w14:solidFill>
          </w14:textFill>
        </w:rPr>
        <w:t>（二）资金计划、到位及使用情况</w:t>
      </w:r>
    </w:p>
    <w:p w14:paraId="58FC401F">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eastAsia" w:ascii="Times New Roman" w:hAnsi="Times New Roman" w:eastAsia="仿宋_GB2312" w:cs="仿宋_GB2312"/>
          <w:color w:val="000000" w:themeColor="text1"/>
          <w:kern w:val="0"/>
          <w:sz w:val="32"/>
          <w:szCs w:val="32"/>
          <w:lang w:val="zh-CN"/>
          <w14:textFill>
            <w14:solidFill>
              <w14:schemeClr w14:val="tx1"/>
            </w14:solidFill>
          </w14:textFill>
        </w:rPr>
      </w:pPr>
      <w:r>
        <w:rPr>
          <w:rFonts w:hint="eastAsia" w:ascii="Times New Roman" w:hAnsi="Times New Roman" w:eastAsia="仿宋_GB2312" w:cs="仿宋_GB2312"/>
          <w:bCs/>
          <w:color w:val="000000" w:themeColor="text1"/>
          <w:sz w:val="32"/>
          <w:szCs w:val="32"/>
          <w:lang w:val="zh-CN"/>
          <w14:textFill>
            <w14:solidFill>
              <w14:schemeClr w14:val="tx1"/>
            </w14:solidFill>
          </w14:textFill>
        </w:rPr>
        <w:t>1</w:t>
      </w:r>
      <w:r>
        <w:rPr>
          <w:rFonts w:hint="eastAsia" w:ascii="Times New Roman" w:hAnsi="Times New Roman" w:eastAsia="仿宋_GB2312" w:cs="仿宋_GB2312"/>
          <w:bCs/>
          <w:color w:val="000000" w:themeColor="text1"/>
          <w:sz w:val="32"/>
          <w:szCs w:val="32"/>
          <w14:textFill>
            <w14:solidFill>
              <w14:schemeClr w14:val="tx1"/>
            </w14:solidFill>
          </w14:textFill>
        </w:rPr>
        <w:t>.</w:t>
      </w:r>
      <w:r>
        <w:rPr>
          <w:rFonts w:hint="eastAsia" w:ascii="Times New Roman" w:hAnsi="Times New Roman" w:eastAsia="仿宋_GB2312" w:cs="仿宋_GB2312"/>
          <w:bCs/>
          <w:color w:val="000000" w:themeColor="text1"/>
          <w:sz w:val="32"/>
          <w:szCs w:val="32"/>
          <w:lang w:val="zh-CN"/>
          <w14:textFill>
            <w14:solidFill>
              <w14:schemeClr w14:val="tx1"/>
            </w14:solidFill>
          </w14:textFill>
        </w:rPr>
        <w:t>资金计划。</w:t>
      </w:r>
      <w:r>
        <w:rPr>
          <w:rFonts w:hint="eastAsia" w:ascii="Times New Roman" w:hAnsi="Times New Roman" w:eastAsia="仿宋_GB2312" w:cs="仿宋_GB2312"/>
          <w:color w:val="000000" w:themeColor="text1"/>
          <w:sz w:val="32"/>
          <w:szCs w:val="32"/>
          <w:lang w:val="zh-CN"/>
          <w14:textFill>
            <w14:solidFill>
              <w14:schemeClr w14:val="tx1"/>
            </w14:solidFill>
          </w14:textFill>
        </w:rPr>
        <w:t>规划及重大前期经费资金</w:t>
      </w:r>
      <w:r>
        <w:rPr>
          <w:rFonts w:hint="eastAsia" w:ascii="Times New Roman" w:hAnsi="Times New Roman" w:eastAsia="仿宋_GB2312" w:cs="仿宋_GB2312"/>
          <w:color w:val="000000" w:themeColor="text1"/>
          <w:sz w:val="32"/>
          <w:szCs w:val="32"/>
          <w14:textFill>
            <w14:solidFill>
              <w14:schemeClr w14:val="tx1"/>
            </w14:solidFill>
          </w14:textFill>
        </w:rPr>
        <w:t>计划</w:t>
      </w:r>
      <w:r>
        <w:rPr>
          <w:rFonts w:hint="eastAsia" w:ascii="Times New Roman" w:hAnsi="Times New Roman" w:eastAsia="仿宋_GB2312" w:cs="仿宋_GB2312"/>
          <w:color w:val="000000" w:themeColor="text1"/>
          <w:sz w:val="32"/>
          <w:szCs w:val="32"/>
          <w:lang w:val="zh-CN"/>
          <w14:textFill>
            <w14:solidFill>
              <w14:schemeClr w14:val="tx1"/>
            </w14:solidFill>
          </w14:textFill>
        </w:rPr>
        <w:t>为</w:t>
      </w:r>
      <w:r>
        <w:rPr>
          <w:rFonts w:hint="eastAsia" w:ascii="Times New Roman" w:hAnsi="Times New Roman" w:eastAsia="仿宋_GB2312" w:cs="仿宋_GB2312"/>
          <w:color w:val="000000" w:themeColor="text1"/>
          <w:sz w:val="32"/>
          <w:szCs w:val="32"/>
          <w14:textFill>
            <w14:solidFill>
              <w14:schemeClr w14:val="tx1"/>
            </w14:solidFill>
          </w14:textFill>
        </w:rPr>
        <w:t>570.12万元，均为市级财政资金。</w:t>
      </w:r>
    </w:p>
    <w:p w14:paraId="33E2AFBE">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eastAsia" w:ascii="Times New Roman" w:hAnsi="Times New Roman" w:eastAsia="仿宋_GB2312" w:cs="仿宋_GB2312"/>
          <w:color w:val="000000" w:themeColor="text1"/>
          <w:kern w:val="0"/>
          <w:sz w:val="32"/>
          <w:szCs w:val="32"/>
          <w14:textFill>
            <w14:solidFill>
              <w14:schemeClr w14:val="tx1"/>
            </w14:solidFill>
          </w14:textFill>
        </w:rPr>
      </w:pPr>
      <w:r>
        <w:rPr>
          <w:rFonts w:hint="eastAsia" w:ascii="Times New Roman" w:hAnsi="Times New Roman" w:eastAsia="仿宋_GB2312" w:cs="仿宋_GB2312"/>
          <w:bCs/>
          <w:color w:val="000000" w:themeColor="text1"/>
          <w:sz w:val="32"/>
          <w:szCs w:val="32"/>
          <w:lang w:val="zh-CN"/>
          <w14:textFill>
            <w14:solidFill>
              <w14:schemeClr w14:val="tx1"/>
            </w14:solidFill>
          </w14:textFill>
        </w:rPr>
        <w:t>2.资金到位。</w:t>
      </w:r>
      <w:r>
        <w:rPr>
          <w:rFonts w:hint="eastAsia" w:ascii="Times New Roman" w:hAnsi="Times New Roman" w:eastAsia="仿宋_GB2312" w:cs="仿宋_GB2312"/>
          <w:color w:val="000000" w:themeColor="text1"/>
          <w:sz w:val="32"/>
          <w:szCs w:val="32"/>
          <w:lang w:val="zh-CN"/>
          <w14:textFill>
            <w14:solidFill>
              <w14:schemeClr w14:val="tx1"/>
            </w14:solidFill>
          </w14:textFill>
        </w:rPr>
        <w:t>规划及重大前期经费</w:t>
      </w:r>
      <w:r>
        <w:rPr>
          <w:rFonts w:hint="eastAsia" w:ascii="Times New Roman" w:hAnsi="Times New Roman" w:eastAsia="仿宋_GB2312" w:cs="仿宋_GB2312"/>
          <w:color w:val="000000" w:themeColor="text1"/>
          <w:sz w:val="32"/>
          <w:szCs w:val="32"/>
          <w14:textFill>
            <w14:solidFill>
              <w14:schemeClr w14:val="tx1"/>
            </w14:solidFill>
          </w14:textFill>
        </w:rPr>
        <w:t>到位</w:t>
      </w:r>
      <w:r>
        <w:rPr>
          <w:rFonts w:hint="eastAsia" w:ascii="Times New Roman" w:hAnsi="Times New Roman" w:eastAsia="仿宋_GB2312" w:cs="仿宋_GB2312"/>
          <w:color w:val="000000" w:themeColor="text1"/>
          <w:sz w:val="32"/>
          <w:szCs w:val="32"/>
          <w:lang w:val="zh-CN"/>
          <w14:textFill>
            <w14:solidFill>
              <w14:schemeClr w14:val="tx1"/>
            </w14:solidFill>
          </w14:textFill>
        </w:rPr>
        <w:t>资金</w:t>
      </w:r>
      <w:r>
        <w:rPr>
          <w:rFonts w:hint="eastAsia" w:ascii="Times New Roman" w:hAnsi="Times New Roman" w:eastAsia="仿宋_GB2312" w:cs="仿宋_GB2312"/>
          <w:color w:val="000000" w:themeColor="text1"/>
          <w:sz w:val="32"/>
          <w:szCs w:val="32"/>
          <w14:textFill>
            <w14:solidFill>
              <w14:schemeClr w14:val="tx1"/>
            </w14:solidFill>
          </w14:textFill>
        </w:rPr>
        <w:t>570.12万元，资金到位率100%，资金到位情况与资金计划相符，到位及时性满足使用要求。</w:t>
      </w:r>
    </w:p>
    <w:p w14:paraId="1ACDEA4C">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eastAsia" w:ascii="Times New Roman" w:hAnsi="Times New Roman" w:eastAsia="仿宋_GB2312" w:cs="仿宋_GB2312"/>
          <w:color w:val="000000" w:themeColor="text1"/>
          <w:kern w:val="0"/>
          <w:sz w:val="32"/>
          <w:szCs w:val="32"/>
          <w:lang w:val="zh-CN"/>
          <w14:textFill>
            <w14:solidFill>
              <w14:schemeClr w14:val="tx1"/>
            </w14:solidFill>
          </w14:textFill>
        </w:rPr>
      </w:pPr>
      <w:r>
        <w:rPr>
          <w:rFonts w:hint="eastAsia" w:ascii="Times New Roman" w:hAnsi="Times New Roman" w:eastAsia="仿宋_GB2312" w:cs="仿宋_GB2312"/>
          <w:bCs/>
          <w:color w:val="000000" w:themeColor="text1"/>
          <w:sz w:val="32"/>
          <w:szCs w:val="32"/>
          <w:lang w:val="zh-CN"/>
          <w14:textFill>
            <w14:solidFill>
              <w14:schemeClr w14:val="tx1"/>
            </w14:solidFill>
          </w14:textFill>
        </w:rPr>
        <w:t>3.资金使用。</w:t>
      </w:r>
      <w:r>
        <w:rPr>
          <w:rFonts w:hint="eastAsia" w:ascii="Times New Roman" w:hAnsi="Times New Roman" w:eastAsia="仿宋_GB2312" w:cs="仿宋_GB2312"/>
          <w:color w:val="000000" w:themeColor="text1"/>
          <w:sz w:val="32"/>
          <w:szCs w:val="32"/>
          <w14:textFill>
            <w14:solidFill>
              <w14:schemeClr w14:val="tx1"/>
            </w14:solidFill>
          </w14:textFill>
        </w:rPr>
        <w:t>2025年</w:t>
      </w:r>
      <w:r>
        <w:rPr>
          <w:rFonts w:hint="eastAsia" w:ascii="Times New Roman" w:hAnsi="Times New Roman" w:eastAsia="仿宋_GB2312" w:cs="仿宋_GB2312"/>
          <w:color w:val="000000" w:themeColor="text1"/>
          <w:sz w:val="32"/>
          <w:szCs w:val="32"/>
          <w:lang w:val="zh-CN"/>
          <w14:textFill>
            <w14:solidFill>
              <w14:schemeClr w14:val="tx1"/>
            </w14:solidFill>
          </w14:textFill>
        </w:rPr>
        <w:t>规划及重大前期经费使用</w:t>
      </w:r>
      <w:r>
        <w:rPr>
          <w:rFonts w:hint="eastAsia" w:ascii="Times New Roman" w:hAnsi="Times New Roman" w:eastAsia="仿宋_GB2312" w:cs="仿宋_GB2312"/>
          <w:color w:val="000000" w:themeColor="text1"/>
          <w:sz w:val="32"/>
          <w:szCs w:val="32"/>
          <w14:textFill>
            <w14:solidFill>
              <w14:schemeClr w14:val="tx1"/>
            </w14:solidFill>
          </w14:textFill>
        </w:rPr>
        <w:t>218.12万元，资金支付范围为昭攀铁路（攀枝花段）可研报告编制服务费、《攀枝花生产服务型国家物流枢纽建设方案》委托编制费、《攀枝花市物流统计体系建设服务项目合同》服务费、攀枝花学院钒钛产业产教融合实训基地建设项目评审费等项目</w:t>
      </w:r>
      <w:r>
        <w:rPr>
          <w:rFonts w:hint="eastAsia" w:ascii="Times New Roman" w:hAnsi="Times New Roman" w:eastAsia="仿宋_GB2312" w:cs="仿宋_GB2312"/>
          <w:color w:val="000000" w:themeColor="text1"/>
          <w:sz w:val="32"/>
          <w:szCs w:val="32"/>
          <w:lang w:val="zh-CN"/>
          <w14:textFill>
            <w14:solidFill>
              <w14:schemeClr w14:val="tx1"/>
            </w14:solidFill>
          </w14:textFill>
        </w:rPr>
        <w:t>。资金使用安全、规范、有效，资金支付范围、支付标准、支付依据等合规合法、与预算相符。</w:t>
      </w:r>
    </w:p>
    <w:p w14:paraId="31DC9F13">
      <w:pPr>
        <w:keepNext w:val="0"/>
        <w:keepLines w:val="0"/>
        <w:pageBreakBefore w:val="0"/>
        <w:widowControl w:val="0"/>
        <w:kinsoku/>
        <w:wordWrap/>
        <w:overflowPunct/>
        <w:topLinePunct w:val="0"/>
        <w:autoSpaceDE/>
        <w:autoSpaceDN/>
        <w:bidi w:val="0"/>
        <w:adjustRightInd w:val="0"/>
        <w:snapToGrid w:val="0"/>
        <w:spacing w:line="600" w:lineRule="exact"/>
        <w:ind w:firstLine="643" w:firstLineChars="200"/>
        <w:textAlignment w:val="auto"/>
        <w:rPr>
          <w:rFonts w:hint="eastAsia" w:eastAsia="楷体_GB2312" w:cs="楷体_GB2312"/>
          <w:b/>
          <w:color w:val="000000" w:themeColor="text1"/>
          <w:sz w:val="32"/>
          <w:szCs w:val="32"/>
          <w:lang w:val="zh-CN"/>
          <w14:textFill>
            <w14:solidFill>
              <w14:schemeClr w14:val="tx1"/>
            </w14:solidFill>
          </w14:textFill>
        </w:rPr>
      </w:pPr>
      <w:r>
        <w:rPr>
          <w:rFonts w:hint="eastAsia" w:eastAsia="楷体_GB2312" w:cs="楷体_GB2312"/>
          <w:b/>
          <w:color w:val="000000" w:themeColor="text1"/>
          <w:sz w:val="32"/>
          <w:szCs w:val="32"/>
          <w:lang w:val="zh-CN"/>
          <w14:textFill>
            <w14:solidFill>
              <w14:schemeClr w14:val="tx1"/>
            </w14:solidFill>
          </w14:textFill>
        </w:rPr>
        <w:t>（三）项目财务管理情况</w:t>
      </w:r>
    </w:p>
    <w:p w14:paraId="6482E161">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eastAsia" w:ascii="Times New Roman" w:hAnsi="Times New Roman" w:eastAsia="仿宋_GB2312" w:cs="仿宋_GB2312"/>
          <w:color w:val="000000" w:themeColor="text1"/>
          <w:kern w:val="0"/>
          <w:sz w:val="32"/>
          <w:szCs w:val="32"/>
          <w:lang w:val="zh-CN"/>
          <w14:textFill>
            <w14:solidFill>
              <w14:schemeClr w14:val="tx1"/>
            </w14:solidFill>
          </w14:textFill>
        </w:rPr>
      </w:pPr>
      <w:r>
        <w:rPr>
          <w:rFonts w:hint="eastAsia" w:ascii="Times New Roman" w:hAnsi="Times New Roman" w:eastAsia="仿宋_GB2312" w:cs="仿宋_GB2312"/>
          <w:color w:val="000000" w:themeColor="text1"/>
          <w:sz w:val="32"/>
          <w:szCs w:val="32"/>
          <w:lang w:val="zh-CN"/>
          <w14:textFill>
            <w14:solidFill>
              <w14:schemeClr w14:val="tx1"/>
            </w14:solidFill>
          </w14:textFill>
        </w:rPr>
        <w:t>该项目实施单位财务管理制度健全，严格执行财务管理制度，账务处理及时，会计核算规范，无违规记录。</w:t>
      </w:r>
    </w:p>
    <w:p w14:paraId="725B3213">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eastAsia" w:ascii="黑体" w:hAnsi="黑体" w:eastAsia="黑体" w:cs="黑体"/>
          <w:color w:val="000000" w:themeColor="text1"/>
          <w:sz w:val="32"/>
          <w:szCs w:val="32"/>
          <w14:textFill>
            <w14:solidFill>
              <w14:schemeClr w14:val="tx1"/>
            </w14:solidFill>
          </w14:textFill>
        </w:rPr>
      </w:pPr>
      <w:r>
        <w:rPr>
          <w:rFonts w:hint="eastAsia" w:ascii="黑体" w:hAnsi="黑体" w:eastAsia="黑体" w:cs="黑体"/>
          <w:color w:val="000000" w:themeColor="text1"/>
          <w:sz w:val="32"/>
          <w:szCs w:val="32"/>
          <w14:textFill>
            <w14:solidFill>
              <w14:schemeClr w14:val="tx1"/>
            </w14:solidFill>
          </w14:textFill>
        </w:rPr>
        <w:t>三、项目实施及管理情况</w:t>
      </w:r>
    </w:p>
    <w:p w14:paraId="3BA21614">
      <w:pPr>
        <w:keepNext w:val="0"/>
        <w:keepLines w:val="0"/>
        <w:pageBreakBefore w:val="0"/>
        <w:widowControl w:val="0"/>
        <w:kinsoku/>
        <w:wordWrap/>
        <w:overflowPunct/>
        <w:topLinePunct w:val="0"/>
        <w:autoSpaceDE/>
        <w:autoSpaceDN/>
        <w:bidi w:val="0"/>
        <w:adjustRightInd w:val="0"/>
        <w:snapToGrid w:val="0"/>
        <w:spacing w:line="600" w:lineRule="exact"/>
        <w:ind w:firstLine="643" w:firstLineChars="200"/>
        <w:textAlignment w:val="auto"/>
        <w:rPr>
          <w:rFonts w:hint="eastAsia" w:ascii="Times New Roman" w:hAnsi="Times New Roman" w:eastAsia="仿宋_GB2312" w:cs="仿宋_GB2312"/>
          <w:color w:val="000000" w:themeColor="text1"/>
          <w:kern w:val="0"/>
          <w:sz w:val="32"/>
          <w:szCs w:val="32"/>
          <w:lang w:val="zh-CN"/>
          <w14:textFill>
            <w14:solidFill>
              <w14:schemeClr w14:val="tx1"/>
            </w14:solidFill>
          </w14:textFill>
        </w:rPr>
      </w:pPr>
      <w:r>
        <w:rPr>
          <w:rFonts w:hint="eastAsia" w:eastAsia="楷体_GB2312" w:cs="楷体_GB2312"/>
          <w:b/>
          <w:color w:val="000000" w:themeColor="text1"/>
          <w:sz w:val="32"/>
          <w:szCs w:val="32"/>
          <w:lang w:val="zh-CN"/>
          <w14:textFill>
            <w14:solidFill>
              <w14:schemeClr w14:val="tx1"/>
            </w14:solidFill>
          </w14:textFill>
        </w:rPr>
        <w:t>（一）项目组织架构及实施流程。</w:t>
      </w:r>
      <w:r>
        <w:rPr>
          <w:rFonts w:hint="eastAsia" w:ascii="Times New Roman" w:hAnsi="Times New Roman" w:eastAsia="仿宋_GB2312" w:cs="仿宋_GB2312"/>
          <w:color w:val="000000" w:themeColor="text1"/>
          <w:sz w:val="32"/>
          <w:szCs w:val="32"/>
          <w:lang w:val="zh-CN"/>
          <w14:textFill>
            <w14:solidFill>
              <w14:schemeClr w14:val="tx1"/>
            </w14:solidFill>
          </w14:textFill>
        </w:rPr>
        <w:t>项目由市发展改革委涉及预算项目支出的各科室负责，开展重大规划编制、重大项目前期包装策划等工作，按照部门预算绩效目标推进各项专项工作，监控部门预算执行情况，各项目的产出指标、效益指标、满意度指标均全面完成，并已按照市财政局要求强化绩效管理理念，秉承客观公正、实事求是的原则开展了单位自评工作。</w:t>
      </w:r>
    </w:p>
    <w:p w14:paraId="4EF89D16">
      <w:pPr>
        <w:keepNext w:val="0"/>
        <w:keepLines w:val="0"/>
        <w:pageBreakBefore w:val="0"/>
        <w:widowControl w:val="0"/>
        <w:kinsoku/>
        <w:wordWrap/>
        <w:overflowPunct/>
        <w:topLinePunct w:val="0"/>
        <w:autoSpaceDE/>
        <w:autoSpaceDN/>
        <w:bidi w:val="0"/>
        <w:adjustRightInd w:val="0"/>
        <w:snapToGrid w:val="0"/>
        <w:spacing w:line="600" w:lineRule="exact"/>
        <w:ind w:firstLine="643" w:firstLineChars="200"/>
        <w:textAlignment w:val="auto"/>
        <w:rPr>
          <w:rFonts w:hint="eastAsia" w:ascii="Times New Roman" w:hAnsi="Times New Roman" w:eastAsia="仿宋_GB2312" w:cs="仿宋_GB2312"/>
          <w:color w:val="000000" w:themeColor="text1"/>
          <w:kern w:val="0"/>
          <w:sz w:val="32"/>
          <w:szCs w:val="32"/>
          <w:lang w:val="zh-CN"/>
          <w14:textFill>
            <w14:solidFill>
              <w14:schemeClr w14:val="tx1"/>
            </w14:solidFill>
          </w14:textFill>
        </w:rPr>
      </w:pPr>
      <w:r>
        <w:rPr>
          <w:rFonts w:hint="eastAsia" w:eastAsia="楷体_GB2312" w:cs="楷体_GB2312"/>
          <w:b/>
          <w:color w:val="000000" w:themeColor="text1"/>
          <w:sz w:val="32"/>
          <w:szCs w:val="32"/>
          <w:lang w:val="zh-CN"/>
          <w14:textFill>
            <w14:solidFill>
              <w14:schemeClr w14:val="tx1"/>
            </w14:solidFill>
          </w14:textFill>
        </w:rPr>
        <w:t>（二）项目管理情况。</w:t>
      </w:r>
      <w:r>
        <w:rPr>
          <w:rFonts w:hint="eastAsia" w:ascii="Times New Roman" w:hAnsi="Times New Roman" w:eastAsia="仿宋_GB2312" w:cs="仿宋_GB2312"/>
          <w:color w:val="000000" w:themeColor="text1"/>
          <w:sz w:val="32"/>
          <w:szCs w:val="32"/>
          <w:lang w:val="zh-CN"/>
          <w14:textFill>
            <w14:solidFill>
              <w14:schemeClr w14:val="tx1"/>
            </w14:solidFill>
          </w14:textFill>
        </w:rPr>
        <w:t>项目管理严格按照《攀枝花市规划及重大项目前期工作经费管理办法（试行）》</w:t>
      </w:r>
      <w:r>
        <w:rPr>
          <w:rFonts w:hint="eastAsia" w:ascii="Times New Roman" w:hAnsi="Times New Roman" w:eastAsia="仿宋_GB2312" w:cs="仿宋_GB2312"/>
          <w:color w:val="000000" w:themeColor="text1"/>
          <w:sz w:val="32"/>
          <w:szCs w:val="32"/>
          <w14:textFill>
            <w14:solidFill>
              <w14:schemeClr w14:val="tx1"/>
            </w14:solidFill>
          </w14:textFill>
        </w:rPr>
        <w:t>执行</w:t>
      </w:r>
      <w:r>
        <w:rPr>
          <w:rFonts w:hint="eastAsia" w:ascii="Times New Roman" w:hAnsi="Times New Roman" w:eastAsia="仿宋_GB2312" w:cs="仿宋_GB2312"/>
          <w:color w:val="000000" w:themeColor="text1"/>
          <w:sz w:val="32"/>
          <w:szCs w:val="32"/>
          <w:lang w:val="zh-CN"/>
          <w14:textFill>
            <w14:solidFill>
              <w14:schemeClr w14:val="tx1"/>
            </w14:solidFill>
          </w14:textFill>
        </w:rPr>
        <w:t>，项目申报内容与具体实施内容相符、申报目标合理可行，本年度内已完成相应工作。项目资金的拨付按照项目进度及合同约定执行。</w:t>
      </w:r>
    </w:p>
    <w:p w14:paraId="461450D1">
      <w:pPr>
        <w:keepNext w:val="0"/>
        <w:keepLines w:val="0"/>
        <w:pageBreakBefore w:val="0"/>
        <w:widowControl w:val="0"/>
        <w:kinsoku/>
        <w:wordWrap/>
        <w:overflowPunct/>
        <w:topLinePunct w:val="0"/>
        <w:autoSpaceDE/>
        <w:autoSpaceDN/>
        <w:bidi w:val="0"/>
        <w:adjustRightInd w:val="0"/>
        <w:snapToGrid w:val="0"/>
        <w:spacing w:line="600" w:lineRule="exact"/>
        <w:ind w:firstLine="643" w:firstLineChars="200"/>
        <w:textAlignment w:val="auto"/>
        <w:rPr>
          <w:rFonts w:hint="eastAsia" w:ascii="Times New Roman" w:hAnsi="Times New Roman" w:eastAsia="仿宋_GB2312" w:cs="仿宋_GB2312"/>
          <w:color w:val="000000" w:themeColor="text1"/>
          <w:kern w:val="0"/>
          <w:sz w:val="32"/>
          <w:szCs w:val="32"/>
          <w:lang w:val="zh-CN"/>
          <w14:textFill>
            <w14:solidFill>
              <w14:schemeClr w14:val="tx1"/>
            </w14:solidFill>
          </w14:textFill>
        </w:rPr>
      </w:pPr>
      <w:r>
        <w:rPr>
          <w:rFonts w:hint="eastAsia" w:eastAsia="楷体_GB2312" w:cs="楷体_GB2312"/>
          <w:b/>
          <w:color w:val="000000" w:themeColor="text1"/>
          <w:sz w:val="32"/>
          <w:szCs w:val="32"/>
          <w:lang w:val="zh-CN"/>
          <w14:textFill>
            <w14:solidFill>
              <w14:schemeClr w14:val="tx1"/>
            </w14:solidFill>
          </w14:textFill>
        </w:rPr>
        <w:t>（三）项目监管情况。</w:t>
      </w:r>
      <w:r>
        <w:rPr>
          <w:rFonts w:hint="eastAsia" w:ascii="Times New Roman" w:hAnsi="Times New Roman" w:eastAsia="仿宋_GB2312" w:cs="仿宋_GB2312"/>
          <w:color w:val="000000" w:themeColor="text1"/>
          <w:sz w:val="32"/>
          <w:szCs w:val="32"/>
          <w:lang w:val="zh-CN"/>
          <w14:textFill>
            <w14:solidFill>
              <w14:schemeClr w14:val="tx1"/>
            </w14:solidFill>
          </w14:textFill>
        </w:rPr>
        <w:t>项目负责科室加强项目管理，实时监控部门预算执行情况，把控各项重大规划的编制、项目咨询评估等的质量，及时发现项目实施过程中的不足</w:t>
      </w:r>
      <w:r>
        <w:rPr>
          <w:rFonts w:hint="eastAsia" w:ascii="Times New Roman" w:hAnsi="Times New Roman" w:eastAsia="仿宋_GB2312" w:cs="仿宋_GB2312"/>
          <w:color w:val="000000" w:themeColor="text1"/>
          <w:sz w:val="32"/>
          <w:szCs w:val="32"/>
          <w14:textFill>
            <w14:solidFill>
              <w14:schemeClr w14:val="tx1"/>
            </w14:solidFill>
          </w14:textFill>
        </w:rPr>
        <w:t>并改进</w:t>
      </w:r>
      <w:r>
        <w:rPr>
          <w:rFonts w:hint="eastAsia" w:ascii="Times New Roman" w:hAnsi="Times New Roman" w:eastAsia="仿宋_GB2312" w:cs="仿宋_GB2312"/>
          <w:color w:val="000000" w:themeColor="text1"/>
          <w:sz w:val="32"/>
          <w:szCs w:val="32"/>
          <w:lang w:val="zh-CN"/>
          <w14:textFill>
            <w14:solidFill>
              <w14:schemeClr w14:val="tx1"/>
            </w14:solidFill>
          </w14:textFill>
        </w:rPr>
        <w:t>，保证最终交付成果质量。</w:t>
      </w:r>
    </w:p>
    <w:p w14:paraId="2250E329">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eastAsia" w:ascii="黑体" w:hAnsi="黑体" w:eastAsia="黑体" w:cs="黑体"/>
          <w:color w:val="000000" w:themeColor="text1"/>
          <w:sz w:val="32"/>
          <w:szCs w:val="32"/>
          <w:lang w:val="zh-CN"/>
          <w14:textFill>
            <w14:solidFill>
              <w14:schemeClr w14:val="tx1"/>
            </w14:solidFill>
          </w14:textFill>
        </w:rPr>
      </w:pPr>
      <w:r>
        <w:rPr>
          <w:rFonts w:hint="eastAsia" w:ascii="黑体" w:hAnsi="黑体" w:eastAsia="黑体" w:cs="黑体"/>
          <w:color w:val="000000" w:themeColor="text1"/>
          <w:sz w:val="32"/>
          <w:szCs w:val="32"/>
          <w14:textFill>
            <w14:solidFill>
              <w14:schemeClr w14:val="tx1"/>
            </w14:solidFill>
          </w14:textFill>
        </w:rPr>
        <w:t>四、项目绩效情况</w:t>
      </w:r>
      <w:r>
        <w:rPr>
          <w:rFonts w:hint="eastAsia" w:ascii="黑体" w:hAnsi="黑体" w:eastAsia="黑体" w:cs="黑体"/>
          <w:color w:val="000000" w:themeColor="text1"/>
          <w:sz w:val="32"/>
          <w:szCs w:val="32"/>
          <w:lang w:val="zh-CN"/>
          <w14:textFill>
            <w14:solidFill>
              <w14:schemeClr w14:val="tx1"/>
            </w14:solidFill>
          </w14:textFill>
        </w:rPr>
        <w:tab/>
      </w:r>
    </w:p>
    <w:p w14:paraId="3633FA64">
      <w:pPr>
        <w:keepNext w:val="0"/>
        <w:keepLines w:val="0"/>
        <w:pageBreakBefore w:val="0"/>
        <w:widowControl w:val="0"/>
        <w:kinsoku/>
        <w:wordWrap/>
        <w:overflowPunct/>
        <w:topLinePunct w:val="0"/>
        <w:autoSpaceDE/>
        <w:autoSpaceDN/>
        <w:bidi w:val="0"/>
        <w:adjustRightInd w:val="0"/>
        <w:snapToGrid w:val="0"/>
        <w:spacing w:line="600" w:lineRule="exact"/>
        <w:ind w:firstLine="643" w:firstLineChars="200"/>
        <w:textAlignment w:val="auto"/>
        <w:rPr>
          <w:rFonts w:hint="eastAsia" w:ascii="Times New Roman" w:hAnsi="Times New Roman" w:eastAsia="仿宋_GB2312" w:cs="仿宋_GB2312"/>
          <w:b/>
          <w:color w:val="000000" w:themeColor="text1"/>
          <w:sz w:val="32"/>
          <w:szCs w:val="32"/>
          <w:lang w:val="zh-CN"/>
          <w14:textFill>
            <w14:solidFill>
              <w14:schemeClr w14:val="tx1"/>
            </w14:solidFill>
          </w14:textFill>
        </w:rPr>
      </w:pPr>
      <w:r>
        <w:rPr>
          <w:rFonts w:hint="eastAsia" w:eastAsia="楷体_GB2312" w:cs="楷体_GB2312"/>
          <w:b/>
          <w:color w:val="000000" w:themeColor="text1"/>
          <w:sz w:val="32"/>
          <w:szCs w:val="32"/>
          <w:lang w:val="zh-CN"/>
          <w14:textFill>
            <w14:solidFill>
              <w14:schemeClr w14:val="tx1"/>
            </w14:solidFill>
          </w14:textFill>
        </w:rPr>
        <w:t>（一）项目完成情况</w:t>
      </w:r>
    </w:p>
    <w:p w14:paraId="3EC512B3">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eastAsia" w:ascii="Times New Roman" w:hAnsi="Times New Roman" w:eastAsia="仿宋_GB2312" w:cs="仿宋_GB2312"/>
          <w:color w:val="000000" w:themeColor="text1"/>
          <w:kern w:val="0"/>
          <w:sz w:val="32"/>
          <w:szCs w:val="32"/>
          <w14:textFill>
            <w14:solidFill>
              <w14:schemeClr w14:val="tx1"/>
            </w14:solidFill>
          </w14:textFill>
        </w:rPr>
      </w:pPr>
      <w:r>
        <w:rPr>
          <w:rFonts w:hint="eastAsia" w:ascii="Times New Roman" w:hAnsi="Times New Roman" w:eastAsia="仿宋_GB2312" w:cs="仿宋_GB2312"/>
          <w:color w:val="000000" w:themeColor="text1"/>
          <w:sz w:val="32"/>
          <w:szCs w:val="32"/>
          <w:lang w:val="zh-CN"/>
          <w14:textFill>
            <w14:solidFill>
              <w14:schemeClr w14:val="tx1"/>
            </w14:solidFill>
          </w14:textFill>
        </w:rPr>
        <w:t>攀枝花市规划及重大项目前期工作提供前期包装策划工作经费，重点用于市本级项目开展前期可行性研究、各项要件办理及相关专题咨询评估，重点用于支持发展潜力好、带动性强和能争取上级资金支持的重大项目。有助于争取上级政策和资金支持、提高全市重大储备项目的转化率、提升向上争取精准度、加快重大项目开工建设、提高项目经济效益。</w:t>
      </w:r>
      <w:r>
        <w:rPr>
          <w:rFonts w:hint="eastAsia" w:ascii="Times New Roman" w:hAnsi="Times New Roman" w:eastAsia="仿宋_GB2312" w:cs="仿宋_GB2312"/>
          <w:color w:val="000000" w:themeColor="text1"/>
          <w:sz w:val="32"/>
          <w:szCs w:val="32"/>
          <w14:textFill>
            <w14:solidFill>
              <w14:schemeClr w14:val="tx1"/>
            </w14:solidFill>
          </w14:textFill>
        </w:rPr>
        <w:t>2025年安排规划及项目前期工作均全部完成，全年预算570.12万元，实际支付218.12万元，项目质量标准、进度计划、成本控制目标均完成年度设定目标。</w:t>
      </w:r>
    </w:p>
    <w:p w14:paraId="7D89F073">
      <w:pPr>
        <w:keepNext w:val="0"/>
        <w:keepLines w:val="0"/>
        <w:pageBreakBefore w:val="0"/>
        <w:widowControl w:val="0"/>
        <w:kinsoku/>
        <w:wordWrap/>
        <w:overflowPunct/>
        <w:topLinePunct w:val="0"/>
        <w:autoSpaceDE/>
        <w:autoSpaceDN/>
        <w:bidi w:val="0"/>
        <w:adjustRightInd w:val="0"/>
        <w:snapToGrid w:val="0"/>
        <w:spacing w:line="600" w:lineRule="exact"/>
        <w:ind w:firstLine="643" w:firstLineChars="200"/>
        <w:textAlignment w:val="auto"/>
        <w:rPr>
          <w:rFonts w:hint="eastAsia" w:eastAsia="楷体_GB2312" w:cs="楷体_GB2312"/>
          <w:b/>
          <w:color w:val="000000" w:themeColor="text1"/>
          <w:sz w:val="32"/>
          <w:szCs w:val="32"/>
          <w:lang w:val="zh-CN"/>
          <w14:textFill>
            <w14:solidFill>
              <w14:schemeClr w14:val="tx1"/>
            </w14:solidFill>
          </w14:textFill>
        </w:rPr>
      </w:pPr>
      <w:r>
        <w:rPr>
          <w:rFonts w:hint="eastAsia" w:eastAsia="楷体_GB2312" w:cs="楷体_GB2312"/>
          <w:b/>
          <w:color w:val="000000" w:themeColor="text1"/>
          <w:sz w:val="32"/>
          <w:szCs w:val="32"/>
          <w:lang w:val="zh-CN"/>
          <w14:textFill>
            <w14:solidFill>
              <w14:schemeClr w14:val="tx1"/>
            </w14:solidFill>
          </w14:textFill>
        </w:rPr>
        <w:t>（二）项目效益情况</w:t>
      </w:r>
    </w:p>
    <w:p w14:paraId="233AE1CA">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eastAsia" w:ascii="Times New Roman" w:hAnsi="Times New Roman" w:eastAsia="仿宋_GB2312" w:cs="仿宋_GB2312"/>
          <w:color w:val="000000" w:themeColor="text1"/>
          <w:kern w:val="0"/>
          <w:sz w:val="32"/>
          <w:szCs w:val="32"/>
          <w:lang w:val="zh-CN"/>
          <w14:textFill>
            <w14:solidFill>
              <w14:schemeClr w14:val="tx1"/>
            </w14:solidFill>
          </w14:textFill>
        </w:rPr>
      </w:pPr>
      <w:r>
        <w:rPr>
          <w:rFonts w:hint="eastAsia" w:ascii="Times New Roman" w:hAnsi="Times New Roman" w:eastAsia="仿宋_GB2312" w:cs="仿宋_GB2312"/>
          <w:color w:val="000000" w:themeColor="text1"/>
          <w:sz w:val="32"/>
          <w:szCs w:val="32"/>
          <w:lang w:val="zh-CN"/>
          <w14:textFill>
            <w14:solidFill>
              <w14:schemeClr w14:val="tx1"/>
            </w14:solidFill>
          </w14:textFill>
        </w:rPr>
        <w:t>项目推进工作高效有序进行，</w:t>
      </w:r>
      <w:r>
        <w:rPr>
          <w:rFonts w:hint="eastAsia" w:ascii="Times New Roman" w:hAnsi="Times New Roman" w:eastAsia="仿宋_GB2312" w:cs="仿宋_GB2312"/>
          <w:color w:val="000000" w:themeColor="text1"/>
          <w:sz w:val="32"/>
          <w:szCs w:val="32"/>
          <w14:textFill>
            <w14:solidFill>
              <w14:schemeClr w14:val="tx1"/>
            </w14:solidFill>
          </w14:textFill>
        </w:rPr>
        <w:t>加快推动攀枝花市重大项目前期工作，促进重大项目落地实施，进一步争取上级政策和资金支持、提高全市重大储备项目的转化率。</w:t>
      </w:r>
    </w:p>
    <w:p w14:paraId="4D1142BE">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eastAsia" w:ascii="黑体" w:hAnsi="黑体" w:eastAsia="黑体" w:cs="黑体"/>
          <w:color w:val="000000" w:themeColor="text1"/>
          <w:sz w:val="32"/>
          <w:szCs w:val="32"/>
          <w14:textFill>
            <w14:solidFill>
              <w14:schemeClr w14:val="tx1"/>
            </w14:solidFill>
          </w14:textFill>
        </w:rPr>
      </w:pPr>
      <w:r>
        <w:rPr>
          <w:rFonts w:hint="eastAsia" w:ascii="黑体" w:hAnsi="黑体" w:eastAsia="黑体" w:cs="黑体"/>
          <w:color w:val="000000" w:themeColor="text1"/>
          <w:sz w:val="32"/>
          <w:szCs w:val="32"/>
          <w14:textFill>
            <w14:solidFill>
              <w14:schemeClr w14:val="tx1"/>
            </w14:solidFill>
          </w14:textFill>
        </w:rPr>
        <w:t>五、评价结论及建议</w:t>
      </w:r>
    </w:p>
    <w:p w14:paraId="61D9EDC9">
      <w:pPr>
        <w:keepNext w:val="0"/>
        <w:keepLines w:val="0"/>
        <w:pageBreakBefore w:val="0"/>
        <w:widowControl w:val="0"/>
        <w:kinsoku/>
        <w:wordWrap/>
        <w:overflowPunct/>
        <w:topLinePunct w:val="0"/>
        <w:autoSpaceDE/>
        <w:autoSpaceDN/>
        <w:bidi w:val="0"/>
        <w:adjustRightInd w:val="0"/>
        <w:snapToGrid w:val="0"/>
        <w:spacing w:line="600" w:lineRule="exact"/>
        <w:ind w:firstLine="643" w:firstLineChars="200"/>
        <w:textAlignment w:val="auto"/>
        <w:rPr>
          <w:rFonts w:hint="eastAsia" w:eastAsia="楷体_GB2312" w:cs="楷体_GB2312"/>
          <w:b/>
          <w:color w:val="000000" w:themeColor="text1"/>
          <w:sz w:val="32"/>
          <w:szCs w:val="32"/>
          <w:lang w:val="zh-CN"/>
          <w14:textFill>
            <w14:solidFill>
              <w14:schemeClr w14:val="tx1"/>
            </w14:solidFill>
          </w14:textFill>
        </w:rPr>
      </w:pPr>
      <w:r>
        <w:rPr>
          <w:rFonts w:hint="eastAsia" w:eastAsia="楷体_GB2312" w:cs="楷体_GB2312"/>
          <w:b/>
          <w:color w:val="000000" w:themeColor="text1"/>
          <w:sz w:val="32"/>
          <w:szCs w:val="32"/>
          <w:lang w:val="zh-CN"/>
          <w14:textFill>
            <w14:solidFill>
              <w14:schemeClr w14:val="tx1"/>
            </w14:solidFill>
          </w14:textFill>
        </w:rPr>
        <w:t>（一）评价结论</w:t>
      </w:r>
    </w:p>
    <w:p w14:paraId="4A70474D">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eastAsia" w:ascii="Times New Roman" w:hAnsi="Times New Roman" w:eastAsia="仿宋_GB2312" w:cs="仿宋_GB2312"/>
          <w:color w:val="000000" w:themeColor="text1"/>
          <w:kern w:val="0"/>
          <w:sz w:val="32"/>
          <w:szCs w:val="32"/>
          <w14:textFill>
            <w14:solidFill>
              <w14:schemeClr w14:val="tx1"/>
            </w14:solidFill>
          </w14:textFill>
        </w:rPr>
      </w:pPr>
      <w:r>
        <w:rPr>
          <w:rFonts w:hint="eastAsia" w:ascii="Times New Roman" w:hAnsi="Times New Roman" w:eastAsia="仿宋_GB2312" w:cs="仿宋_GB2312"/>
          <w:color w:val="000000" w:themeColor="text1"/>
          <w:sz w:val="32"/>
          <w:szCs w:val="32"/>
          <w:lang w:val="zh-CN"/>
          <w14:textFill>
            <w14:solidFill>
              <w14:schemeClr w14:val="tx1"/>
            </w14:solidFill>
          </w14:textFill>
        </w:rPr>
        <w:t>该项目管理合理，管理程序等合法合规，项目自评评分</w:t>
      </w:r>
      <w:r>
        <w:rPr>
          <w:rFonts w:hint="eastAsia" w:ascii="Times New Roman" w:hAnsi="Times New Roman" w:eastAsia="仿宋_GB2312" w:cs="仿宋_GB2312"/>
          <w:color w:val="000000" w:themeColor="text1"/>
          <w:sz w:val="32"/>
          <w:szCs w:val="32"/>
          <w14:textFill>
            <w14:solidFill>
              <w14:schemeClr w14:val="tx1"/>
            </w14:solidFill>
          </w14:textFill>
        </w:rPr>
        <w:t>95分，项目经济效益、社会效益、质量、时效等符合预期。加快推动攀枝花市重大项目前期工作，促进重大项目落地实施，为经济社会可持续发展提供强有力的支撑。</w:t>
      </w:r>
    </w:p>
    <w:p w14:paraId="74A9C34C">
      <w:pPr>
        <w:keepNext w:val="0"/>
        <w:keepLines w:val="0"/>
        <w:pageBreakBefore w:val="0"/>
        <w:widowControl w:val="0"/>
        <w:kinsoku/>
        <w:wordWrap/>
        <w:overflowPunct/>
        <w:topLinePunct w:val="0"/>
        <w:autoSpaceDE/>
        <w:autoSpaceDN/>
        <w:bidi w:val="0"/>
        <w:adjustRightInd w:val="0"/>
        <w:snapToGrid w:val="0"/>
        <w:spacing w:line="600" w:lineRule="exact"/>
        <w:ind w:firstLine="643" w:firstLineChars="200"/>
        <w:textAlignment w:val="auto"/>
        <w:rPr>
          <w:rFonts w:hint="eastAsia" w:eastAsia="楷体_GB2312" w:cs="楷体_GB2312"/>
          <w:b/>
          <w:color w:val="000000" w:themeColor="text1"/>
          <w:sz w:val="32"/>
          <w:szCs w:val="32"/>
          <w:lang w:val="zh-CN"/>
          <w14:textFill>
            <w14:solidFill>
              <w14:schemeClr w14:val="tx1"/>
            </w14:solidFill>
          </w14:textFill>
        </w:rPr>
      </w:pPr>
      <w:r>
        <w:rPr>
          <w:rFonts w:hint="eastAsia" w:eastAsia="楷体_GB2312" w:cs="楷体_GB2312"/>
          <w:b/>
          <w:color w:val="000000" w:themeColor="text1"/>
          <w:sz w:val="32"/>
          <w:szCs w:val="32"/>
          <w:lang w:val="zh-CN"/>
          <w14:textFill>
            <w14:solidFill>
              <w14:schemeClr w14:val="tx1"/>
            </w14:solidFill>
          </w14:textFill>
        </w:rPr>
        <w:t>（二）存在的问题</w:t>
      </w:r>
    </w:p>
    <w:p w14:paraId="4AAC0FE2">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eastAsia" w:ascii="Times New Roman" w:hAnsi="Times New Roman" w:eastAsia="仿宋_GB2312" w:cs="仿宋_GB2312"/>
          <w:color w:val="000000" w:themeColor="text1"/>
          <w:kern w:val="0"/>
          <w:sz w:val="32"/>
          <w:szCs w:val="32"/>
          <w14:textFill>
            <w14:solidFill>
              <w14:schemeClr w14:val="tx1"/>
            </w14:solidFill>
          </w14:textFill>
        </w:rPr>
      </w:pPr>
      <w:r>
        <w:rPr>
          <w:rFonts w:hint="eastAsia" w:ascii="Times New Roman" w:hAnsi="Times New Roman" w:eastAsia="仿宋_GB2312" w:cs="仿宋_GB2312"/>
          <w:color w:val="000000" w:themeColor="text1"/>
          <w:sz w:val="32"/>
          <w:szCs w:val="32"/>
          <w14:textFill>
            <w14:solidFill>
              <w14:schemeClr w14:val="tx1"/>
            </w14:solidFill>
          </w14:textFill>
        </w:rPr>
        <w:t>资金执行率不高，因部分项目工作进度调整，加上财政资金紧张，导致部分项目资金执行率有待提高。</w:t>
      </w:r>
    </w:p>
    <w:p w14:paraId="2EEC0B48">
      <w:pPr>
        <w:keepNext w:val="0"/>
        <w:keepLines w:val="0"/>
        <w:pageBreakBefore w:val="0"/>
        <w:widowControl w:val="0"/>
        <w:kinsoku/>
        <w:wordWrap/>
        <w:overflowPunct/>
        <w:topLinePunct w:val="0"/>
        <w:autoSpaceDE/>
        <w:autoSpaceDN/>
        <w:bidi w:val="0"/>
        <w:adjustRightInd w:val="0"/>
        <w:snapToGrid w:val="0"/>
        <w:spacing w:line="600" w:lineRule="exact"/>
        <w:ind w:firstLine="643" w:firstLineChars="200"/>
        <w:textAlignment w:val="auto"/>
        <w:rPr>
          <w:rFonts w:hint="eastAsia" w:eastAsia="楷体_GB2312" w:cs="楷体_GB2312"/>
          <w:b/>
          <w:color w:val="000000" w:themeColor="text1"/>
          <w:sz w:val="32"/>
          <w:szCs w:val="32"/>
          <w:lang w:val="zh-CN"/>
          <w14:textFill>
            <w14:solidFill>
              <w14:schemeClr w14:val="tx1"/>
            </w14:solidFill>
          </w14:textFill>
        </w:rPr>
      </w:pPr>
      <w:r>
        <w:rPr>
          <w:rFonts w:hint="eastAsia" w:eastAsia="楷体_GB2312" w:cs="楷体_GB2312"/>
          <w:b/>
          <w:color w:val="000000" w:themeColor="text1"/>
          <w:sz w:val="32"/>
          <w:szCs w:val="32"/>
          <w:lang w:val="zh-CN"/>
          <w14:textFill>
            <w14:solidFill>
              <w14:schemeClr w14:val="tx1"/>
            </w14:solidFill>
          </w14:textFill>
        </w:rPr>
        <w:t>（三）相关建议</w:t>
      </w:r>
    </w:p>
    <w:p w14:paraId="08DBCB54">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eastAsia" w:ascii="Times New Roman" w:hAnsi="Times New Roman" w:eastAsia="仿宋_GB2312" w:cs="仿宋_GB2312"/>
          <w:color w:val="000000" w:themeColor="text1"/>
          <w:sz w:val="32"/>
          <w:szCs w:val="32"/>
          <w14:textFill>
            <w14:solidFill>
              <w14:schemeClr w14:val="tx1"/>
            </w14:solidFill>
          </w14:textFill>
        </w:rPr>
      </w:pPr>
      <w:r>
        <w:rPr>
          <w:rFonts w:hint="eastAsia" w:ascii="Times New Roman" w:hAnsi="Times New Roman" w:eastAsia="仿宋_GB2312" w:cs="仿宋_GB2312"/>
          <w:color w:val="000000" w:themeColor="text1"/>
          <w:sz w:val="32"/>
          <w:szCs w:val="32"/>
          <w14:textFill>
            <w14:solidFill>
              <w14:schemeClr w14:val="tx1"/>
            </w14:solidFill>
          </w14:textFill>
        </w:rPr>
        <w:t>进一步加强与财政间沟通，尽可能保持均衡的资金支出进度，保障重点项目进度的正常推进，争取当年的经费当年完成支付。</w:t>
      </w:r>
    </w:p>
    <w:p w14:paraId="729E398A">
      <w:pPr>
        <w:keepNext w:val="0"/>
        <w:keepLines w:val="0"/>
        <w:pageBreakBefore w:val="0"/>
        <w:widowControl w:val="0"/>
        <w:kinsoku/>
        <w:wordWrap/>
        <w:overflowPunct/>
        <w:topLinePunct w:val="0"/>
        <w:autoSpaceDE/>
        <w:autoSpaceDN/>
        <w:bidi w:val="0"/>
        <w:spacing w:line="600" w:lineRule="exact"/>
        <w:ind w:firstLine="640" w:firstLineChars="200"/>
        <w:textAlignment w:val="auto"/>
        <w:rPr>
          <w:rFonts w:hint="eastAsia" w:ascii="Times New Roman" w:hAnsi="Times New Roman" w:eastAsia="仿宋_GB2312" w:cs="仿宋_GB2312"/>
          <w:color w:val="000000" w:themeColor="text1"/>
          <w:sz w:val="32"/>
          <w:szCs w:val="32"/>
          <w14:textFill>
            <w14:solidFill>
              <w14:schemeClr w14:val="tx1"/>
            </w14:solidFill>
          </w14:textFill>
        </w:rPr>
      </w:pPr>
      <w:r>
        <w:rPr>
          <w:rFonts w:hint="eastAsia" w:ascii="Times New Roman" w:hAnsi="Times New Roman" w:eastAsia="仿宋_GB2312" w:cs="仿宋_GB2312"/>
          <w:color w:val="000000" w:themeColor="text1"/>
          <w:sz w:val="32"/>
          <w:szCs w:val="32"/>
          <w14:textFill>
            <w14:solidFill>
              <w14:schemeClr w14:val="tx1"/>
            </w14:solidFill>
          </w14:textFill>
        </w:rPr>
        <w:br w:type="page"/>
      </w:r>
    </w:p>
    <w:p w14:paraId="36BACE03">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方正小标宋简体" w:hAnsi="方正小标宋简体" w:eastAsia="方正小标宋简体" w:cs="方正小标宋简体"/>
          <w:color w:val="000000" w:themeColor="text1"/>
          <w:sz w:val="44"/>
          <w:szCs w:val="44"/>
          <w14:textFill>
            <w14:solidFill>
              <w14:schemeClr w14:val="tx1"/>
            </w14:solidFill>
          </w14:textFill>
        </w:rPr>
      </w:pPr>
      <w:r>
        <w:rPr>
          <w:rFonts w:hint="eastAsia" w:ascii="方正小标宋简体" w:hAnsi="方正小标宋简体" w:eastAsia="方正小标宋简体" w:cs="方正小标宋简体"/>
          <w:color w:val="000000" w:themeColor="text1"/>
          <w:sz w:val="44"/>
          <w:szCs w:val="44"/>
          <w14:textFill>
            <w14:solidFill>
              <w14:schemeClr w14:val="tx1"/>
            </w14:solidFill>
          </w14:textFill>
        </w:rPr>
        <w:t>攀枝花市粮食质量检验监测中心实验室</w:t>
      </w:r>
      <w:r>
        <w:rPr>
          <w:rFonts w:hint="eastAsia" w:ascii="方正小标宋简体" w:hAnsi="方正小标宋简体" w:eastAsia="方正小标宋简体" w:cs="方正小标宋简体"/>
          <w:color w:val="000000" w:themeColor="text1"/>
          <w:sz w:val="44"/>
          <w:szCs w:val="44"/>
          <w14:textFill>
            <w14:solidFill>
              <w14:schemeClr w14:val="tx1"/>
            </w14:solidFill>
          </w14:textFill>
        </w:rPr>
        <w:br w:type="textWrapping"/>
      </w:r>
      <w:r>
        <w:rPr>
          <w:rFonts w:hint="eastAsia" w:ascii="方正小标宋简体" w:hAnsi="方正小标宋简体" w:eastAsia="方正小标宋简体" w:cs="方正小标宋简体"/>
          <w:color w:val="000000" w:themeColor="text1"/>
          <w:sz w:val="44"/>
          <w:szCs w:val="44"/>
          <w14:textFill>
            <w14:solidFill>
              <w14:schemeClr w14:val="tx1"/>
            </w14:solidFill>
          </w14:textFill>
        </w:rPr>
        <w:t>改造专项预算项目支出绩效自评报告</w:t>
      </w:r>
    </w:p>
    <w:p w14:paraId="07749F36">
      <w:pPr>
        <w:adjustRightInd w:val="0"/>
        <w:snapToGrid w:val="0"/>
        <w:spacing w:line="640" w:lineRule="exact"/>
        <w:ind w:firstLine="640" w:firstLineChars="200"/>
        <w:rPr>
          <w:rFonts w:hint="eastAsia" w:eastAsia="黑体" w:cs="黑体"/>
          <w:color w:val="000000" w:themeColor="text1"/>
          <w:sz w:val="32"/>
          <w:szCs w:val="32"/>
          <w14:textFill>
            <w14:solidFill>
              <w14:schemeClr w14:val="tx1"/>
            </w14:solidFill>
          </w14:textFill>
        </w:rPr>
      </w:pPr>
    </w:p>
    <w:p w14:paraId="2B1567DA">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eastAsia" w:ascii="黑体" w:hAnsi="黑体" w:eastAsia="黑体" w:cs="黑体"/>
          <w:color w:val="000000" w:themeColor="text1"/>
          <w:sz w:val="32"/>
          <w:szCs w:val="32"/>
          <w:lang w:val="zh-CN"/>
          <w14:textFill>
            <w14:solidFill>
              <w14:schemeClr w14:val="tx1"/>
            </w14:solidFill>
          </w14:textFill>
        </w:rPr>
      </w:pPr>
      <w:r>
        <w:rPr>
          <w:rFonts w:hint="eastAsia" w:ascii="黑体" w:hAnsi="黑体" w:eastAsia="黑体" w:cs="黑体"/>
          <w:color w:val="000000" w:themeColor="text1"/>
          <w:sz w:val="32"/>
          <w:szCs w:val="32"/>
          <w14:textFill>
            <w14:solidFill>
              <w14:schemeClr w14:val="tx1"/>
            </w14:solidFill>
          </w14:textFill>
        </w:rPr>
        <w:t>一、</w:t>
      </w:r>
      <w:r>
        <w:rPr>
          <w:rFonts w:hint="eastAsia" w:ascii="黑体" w:hAnsi="黑体" w:eastAsia="黑体" w:cs="黑体"/>
          <w:color w:val="000000" w:themeColor="text1"/>
          <w:sz w:val="32"/>
          <w:szCs w:val="32"/>
          <w:lang w:val="zh-CN"/>
          <w14:textFill>
            <w14:solidFill>
              <w14:schemeClr w14:val="tx1"/>
            </w14:solidFill>
          </w14:textFill>
        </w:rPr>
        <w:t>项目概况</w:t>
      </w:r>
    </w:p>
    <w:p w14:paraId="1274752C">
      <w:pPr>
        <w:keepNext w:val="0"/>
        <w:keepLines w:val="0"/>
        <w:pageBreakBefore w:val="0"/>
        <w:widowControl w:val="0"/>
        <w:kinsoku/>
        <w:wordWrap/>
        <w:overflowPunct/>
        <w:topLinePunct w:val="0"/>
        <w:autoSpaceDE/>
        <w:autoSpaceDN/>
        <w:bidi w:val="0"/>
        <w:adjustRightInd w:val="0"/>
        <w:snapToGrid w:val="0"/>
        <w:spacing w:line="600" w:lineRule="exact"/>
        <w:ind w:firstLine="643" w:firstLineChars="200"/>
        <w:textAlignment w:val="auto"/>
        <w:rPr>
          <w:rFonts w:hint="eastAsia" w:eastAsia="楷体_GB2312" w:cs="楷体_GB2312"/>
          <w:b/>
          <w:color w:val="000000" w:themeColor="text1"/>
          <w:sz w:val="32"/>
          <w:szCs w:val="32"/>
          <w:lang w:val="zh-CN"/>
          <w14:textFill>
            <w14:solidFill>
              <w14:schemeClr w14:val="tx1"/>
            </w14:solidFill>
          </w14:textFill>
        </w:rPr>
      </w:pPr>
      <w:r>
        <w:rPr>
          <w:rFonts w:hint="eastAsia" w:eastAsia="楷体_GB2312" w:cs="楷体_GB2312"/>
          <w:b/>
          <w:color w:val="000000" w:themeColor="text1"/>
          <w:sz w:val="32"/>
          <w:szCs w:val="32"/>
          <w:lang w:val="zh-CN"/>
          <w14:textFill>
            <w14:solidFill>
              <w14:schemeClr w14:val="tx1"/>
            </w14:solidFill>
          </w14:textFill>
        </w:rPr>
        <w:t>（一）项目基本情况</w:t>
      </w:r>
    </w:p>
    <w:p w14:paraId="775DFF43">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eastAsia" w:ascii="Times New Roman" w:hAnsi="Times New Roman" w:eastAsia="仿宋_GB2312" w:cs="仿宋_GB2312"/>
          <w:color w:val="000000" w:themeColor="text1"/>
          <w:kern w:val="0"/>
          <w:sz w:val="32"/>
          <w:szCs w:val="32"/>
          <w:lang w:val="zh-CN"/>
          <w14:textFill>
            <w14:solidFill>
              <w14:schemeClr w14:val="tx1"/>
            </w14:solidFill>
          </w14:textFill>
        </w:rPr>
      </w:pPr>
      <w:r>
        <w:rPr>
          <w:rFonts w:hint="eastAsia" w:ascii="Times New Roman" w:hAnsi="Times New Roman" w:eastAsia="仿宋_GB2312" w:cs="仿宋_GB2312"/>
          <w:bCs/>
          <w:color w:val="000000" w:themeColor="text1"/>
          <w:sz w:val="32"/>
          <w:szCs w:val="32"/>
          <w:lang w:val="zh-CN"/>
          <w14:textFill>
            <w14:solidFill>
              <w14:schemeClr w14:val="tx1"/>
            </w14:solidFill>
          </w14:textFill>
        </w:rPr>
        <w:t>1.项目主管部门（单位）在该项目管理中的职能。</w:t>
      </w:r>
      <w:r>
        <w:rPr>
          <w:rFonts w:hint="eastAsia" w:ascii="Times New Roman" w:hAnsi="Times New Roman" w:eastAsia="仿宋_GB2312" w:cs="仿宋_GB2312"/>
          <w:color w:val="000000" w:themeColor="text1"/>
          <w:sz w:val="32"/>
          <w:szCs w:val="32"/>
          <w:lang w:val="zh-CN"/>
          <w14:textFill>
            <w14:solidFill>
              <w14:schemeClr w14:val="tx1"/>
            </w14:solidFill>
          </w14:textFill>
        </w:rPr>
        <w:t>本项目由市发展改革委下属事业单位市重要和应急物资储备中心负责，受委托开展粮油产品质量检验监测工作，并负责实验室的建设工作。</w:t>
      </w:r>
    </w:p>
    <w:p w14:paraId="096F9479">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eastAsia" w:ascii="Times New Roman" w:hAnsi="Times New Roman" w:eastAsia="仿宋_GB2312" w:cs="仿宋_GB2312"/>
          <w:color w:val="000000" w:themeColor="text1"/>
          <w:kern w:val="0"/>
          <w:sz w:val="32"/>
          <w:szCs w:val="32"/>
          <w14:textFill>
            <w14:solidFill>
              <w14:schemeClr w14:val="tx1"/>
            </w14:solidFill>
          </w14:textFill>
        </w:rPr>
      </w:pPr>
      <w:r>
        <w:rPr>
          <w:rFonts w:hint="eastAsia" w:ascii="Times New Roman" w:hAnsi="Times New Roman" w:eastAsia="仿宋_GB2312" w:cs="仿宋_GB2312"/>
          <w:bCs/>
          <w:color w:val="000000" w:themeColor="text1"/>
          <w:sz w:val="32"/>
          <w:szCs w:val="32"/>
          <w:lang w:val="zh-CN"/>
          <w14:textFill>
            <w14:solidFill>
              <w14:schemeClr w14:val="tx1"/>
            </w14:solidFill>
          </w14:textFill>
        </w:rPr>
        <w:t>2.项目立项、资金申报的依据。</w:t>
      </w:r>
      <w:r>
        <w:rPr>
          <w:rFonts w:hint="eastAsia" w:ascii="Times New Roman" w:hAnsi="Times New Roman" w:eastAsia="仿宋_GB2312" w:cs="仿宋_GB2312"/>
          <w:color w:val="000000" w:themeColor="text1"/>
          <w:sz w:val="32"/>
          <w:szCs w:val="32"/>
          <w14:textFill>
            <w14:solidFill>
              <w14:schemeClr w14:val="tx1"/>
            </w14:solidFill>
          </w14:textFill>
        </w:rPr>
        <w:t>2023年10月，经市政府批示同意追加预算124.1万元，开展实验室建设工作。2024年7月，经市政府对《关于调整攀枝花市粮食质量检验监测中心实验室改造经费预算的请示》的批示同意，实验室项目改造预算由124.1万元调整至196.3万元。市财政于2024年2月和8月分别下发《关于下达攀枝花市粮食质量检验监测中心实验室改造项目资金预算的通知》（攀财投〔2024〕15号）和《关于下达市粮食质量检验检测中心建设及运行预算的通知》（攀财投〔2024〕68号），下达预算共计196.3万元。项目于2024年11月底启动施工进场工作，按照合同约定，支付改造项目经费、造价费、设计费、专家评审费等费用111.76万元，剩余84.54万元经费结转至2025年度。</w:t>
      </w:r>
    </w:p>
    <w:p w14:paraId="707CD24F">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eastAsia" w:ascii="Times New Roman" w:hAnsi="Times New Roman" w:eastAsia="仿宋_GB2312" w:cs="仿宋_GB2312"/>
          <w:color w:val="000000" w:themeColor="text1"/>
          <w:kern w:val="0"/>
          <w:sz w:val="32"/>
          <w:szCs w:val="32"/>
          <w14:textFill>
            <w14:solidFill>
              <w14:schemeClr w14:val="tx1"/>
            </w14:solidFill>
          </w14:textFill>
        </w:rPr>
      </w:pPr>
      <w:r>
        <w:rPr>
          <w:rFonts w:hint="eastAsia" w:ascii="Times New Roman" w:hAnsi="Times New Roman" w:eastAsia="仿宋_GB2312" w:cs="仿宋_GB2312"/>
          <w:bCs/>
          <w:color w:val="000000" w:themeColor="text1"/>
          <w:sz w:val="32"/>
          <w:szCs w:val="32"/>
          <w:lang w:val="zh-CN"/>
          <w14:textFill>
            <w14:solidFill>
              <w14:schemeClr w14:val="tx1"/>
            </w14:solidFill>
          </w14:textFill>
        </w:rPr>
        <w:t>3.资金管理办法制定情况，资金支持具体项目的条件、范围与支持方式概况。</w:t>
      </w:r>
      <w:r>
        <w:rPr>
          <w:rFonts w:hint="eastAsia" w:ascii="Times New Roman" w:hAnsi="Times New Roman" w:eastAsia="仿宋_GB2312" w:cs="仿宋_GB2312"/>
          <w:color w:val="000000" w:themeColor="text1"/>
          <w:sz w:val="32"/>
          <w:szCs w:val="32"/>
          <w:lang w:val="zh-CN"/>
          <w14:textFill>
            <w14:solidFill>
              <w14:schemeClr w14:val="tx1"/>
            </w14:solidFill>
          </w14:textFill>
        </w:rPr>
        <w:t>依据《</w:t>
      </w:r>
      <w:r>
        <w:rPr>
          <w:rFonts w:hint="eastAsia" w:ascii="Times New Roman" w:hAnsi="Times New Roman" w:eastAsia="仿宋_GB2312" w:cs="仿宋_GB2312"/>
          <w:color w:val="000000" w:themeColor="text1"/>
          <w:sz w:val="32"/>
          <w:szCs w:val="32"/>
          <w14:textFill>
            <w14:solidFill>
              <w14:schemeClr w14:val="tx1"/>
            </w14:solidFill>
          </w14:textFill>
        </w:rPr>
        <w:t>攀枝花市本级政府投资管理</w:t>
      </w:r>
      <w:r>
        <w:rPr>
          <w:rFonts w:hint="eastAsia" w:ascii="Times New Roman" w:hAnsi="Times New Roman" w:eastAsia="仿宋_GB2312" w:cs="仿宋_GB2312"/>
          <w:color w:val="000000" w:themeColor="text1"/>
          <w:sz w:val="32"/>
          <w:szCs w:val="32"/>
          <w:lang w:val="zh-CN"/>
          <w14:textFill>
            <w14:solidFill>
              <w14:schemeClr w14:val="tx1"/>
            </w14:solidFill>
          </w14:textFill>
        </w:rPr>
        <w:t>实施细则》</w:t>
      </w:r>
      <w:r>
        <w:rPr>
          <w:rFonts w:hint="eastAsia" w:ascii="Times New Roman" w:hAnsi="Times New Roman" w:eastAsia="仿宋_GB2312" w:cs="仿宋_GB2312"/>
          <w:color w:val="000000" w:themeColor="text1"/>
          <w:sz w:val="32"/>
          <w:szCs w:val="32"/>
          <w14:textFill>
            <w14:solidFill>
              <w14:schemeClr w14:val="tx1"/>
            </w14:solidFill>
          </w14:textFill>
        </w:rPr>
        <w:t>（攀府规〔2023〕2号）</w:t>
      </w:r>
      <w:r>
        <w:rPr>
          <w:rFonts w:hint="eastAsia" w:ascii="Times New Roman" w:hAnsi="Times New Roman" w:eastAsia="仿宋_GB2312" w:cs="仿宋_GB2312"/>
          <w:color w:val="000000" w:themeColor="text1"/>
          <w:sz w:val="32"/>
          <w:szCs w:val="32"/>
          <w:lang w:val="zh-CN"/>
          <w14:textFill>
            <w14:solidFill>
              <w14:schemeClr w14:val="tx1"/>
            </w14:solidFill>
          </w14:textFill>
        </w:rPr>
        <w:t>等文件要求管理资金。为保障攀枝花市粮食质量安全，根据省上对粮食质量安全保障能力建设的要求，通过市级财政支持，按照专款专用方式用于实验室建设。</w:t>
      </w:r>
    </w:p>
    <w:p w14:paraId="46140E2A">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eastAsia" w:ascii="Times New Roman" w:hAnsi="Times New Roman" w:eastAsia="仿宋_GB2312" w:cs="仿宋_GB2312"/>
          <w:color w:val="000000" w:themeColor="text1"/>
          <w:kern w:val="0"/>
          <w:sz w:val="32"/>
          <w:szCs w:val="32"/>
          <w:lang w:val="zh-CN"/>
          <w14:textFill>
            <w14:solidFill>
              <w14:schemeClr w14:val="tx1"/>
            </w14:solidFill>
          </w14:textFill>
        </w:rPr>
      </w:pPr>
      <w:r>
        <w:rPr>
          <w:rFonts w:hint="eastAsia" w:ascii="Times New Roman" w:hAnsi="Times New Roman" w:eastAsia="仿宋_GB2312" w:cs="仿宋_GB2312"/>
          <w:bCs/>
          <w:color w:val="000000" w:themeColor="text1"/>
          <w:sz w:val="32"/>
          <w:szCs w:val="32"/>
          <w14:textFill>
            <w14:solidFill>
              <w14:schemeClr w14:val="tx1"/>
            </w14:solidFill>
          </w14:textFill>
        </w:rPr>
        <w:t>4.</w:t>
      </w:r>
      <w:r>
        <w:rPr>
          <w:rFonts w:hint="eastAsia" w:ascii="Times New Roman" w:hAnsi="Times New Roman" w:eastAsia="仿宋_GB2312" w:cs="仿宋_GB2312"/>
          <w:bCs/>
          <w:color w:val="000000" w:themeColor="text1"/>
          <w:sz w:val="32"/>
          <w:szCs w:val="32"/>
          <w:lang w:val="zh-CN"/>
          <w14:textFill>
            <w14:solidFill>
              <w14:schemeClr w14:val="tx1"/>
            </w14:solidFill>
          </w14:textFill>
        </w:rPr>
        <w:t>资金分配的原则及考虑因素。</w:t>
      </w:r>
      <w:r>
        <w:rPr>
          <w:rFonts w:hint="eastAsia" w:ascii="Times New Roman" w:hAnsi="Times New Roman" w:eastAsia="仿宋_GB2312" w:cs="仿宋_GB2312"/>
          <w:color w:val="000000" w:themeColor="text1"/>
          <w:sz w:val="32"/>
          <w:szCs w:val="32"/>
          <w:lang w:val="zh-CN"/>
          <w14:textFill>
            <w14:solidFill>
              <w14:schemeClr w14:val="tx1"/>
            </w14:solidFill>
          </w14:textFill>
        </w:rPr>
        <w:t>施工单位严格通过政府采购公开招标方式确定，确保选择资质合规、经验丰富、信誉良好的实施主体。资金分配坚持“按进度支付、按约定履约、按审计决算”的原则，根据实验室改造施工进度，按照合同约定比例分期支付改造经费，同时统筹支付设计费、监理费等二类相关费用，保障项目各环节有序推进。实验室改造费用最终结算金额，以竣工决算审计核定的费用为准，确保资金使用精准、合规、节约。</w:t>
      </w:r>
    </w:p>
    <w:p w14:paraId="72E7E91C">
      <w:pPr>
        <w:keepNext w:val="0"/>
        <w:keepLines w:val="0"/>
        <w:pageBreakBefore w:val="0"/>
        <w:widowControl w:val="0"/>
        <w:kinsoku/>
        <w:wordWrap/>
        <w:overflowPunct/>
        <w:topLinePunct w:val="0"/>
        <w:autoSpaceDE/>
        <w:autoSpaceDN/>
        <w:bidi w:val="0"/>
        <w:adjustRightInd w:val="0"/>
        <w:snapToGrid w:val="0"/>
        <w:spacing w:line="600" w:lineRule="exact"/>
        <w:ind w:firstLine="643" w:firstLineChars="200"/>
        <w:textAlignment w:val="auto"/>
        <w:rPr>
          <w:rFonts w:hint="eastAsia" w:ascii="Times New Roman" w:hAnsi="Times New Roman" w:eastAsia="仿宋_GB2312" w:cs="仿宋_GB2312"/>
          <w:b/>
          <w:color w:val="000000" w:themeColor="text1"/>
          <w:sz w:val="32"/>
          <w:szCs w:val="32"/>
          <w:lang w:val="zh-CN"/>
          <w14:textFill>
            <w14:solidFill>
              <w14:schemeClr w14:val="tx1"/>
            </w14:solidFill>
          </w14:textFill>
        </w:rPr>
      </w:pPr>
      <w:r>
        <w:rPr>
          <w:rFonts w:hint="eastAsia" w:eastAsia="楷体_GB2312" w:cs="楷体_GB2312"/>
          <w:b/>
          <w:color w:val="000000" w:themeColor="text1"/>
          <w:sz w:val="32"/>
          <w:szCs w:val="32"/>
          <w:lang w:val="zh-CN"/>
          <w14:textFill>
            <w14:solidFill>
              <w14:schemeClr w14:val="tx1"/>
            </w14:solidFill>
          </w14:textFill>
        </w:rPr>
        <w:t>（二）项目绩效目标</w:t>
      </w:r>
    </w:p>
    <w:p w14:paraId="44E214AD">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eastAsia" w:ascii="Times New Roman" w:hAnsi="Times New Roman" w:eastAsia="仿宋_GB2312" w:cs="仿宋_GB2312"/>
          <w:color w:val="000000" w:themeColor="text1"/>
          <w:kern w:val="0"/>
          <w:sz w:val="32"/>
          <w:szCs w:val="32"/>
          <w:lang w:val="zh-CN"/>
          <w14:textFill>
            <w14:solidFill>
              <w14:schemeClr w14:val="tx1"/>
            </w14:solidFill>
          </w14:textFill>
        </w:rPr>
      </w:pPr>
      <w:r>
        <w:rPr>
          <w:rFonts w:hint="eastAsia" w:ascii="Times New Roman" w:hAnsi="Times New Roman" w:eastAsia="仿宋_GB2312" w:cs="仿宋_GB2312"/>
          <w:bCs/>
          <w:color w:val="000000" w:themeColor="text1"/>
          <w:sz w:val="32"/>
          <w:szCs w:val="32"/>
          <w:lang w:val="zh-CN"/>
          <w14:textFill>
            <w14:solidFill>
              <w14:schemeClr w14:val="tx1"/>
            </w14:solidFill>
          </w14:textFill>
        </w:rPr>
        <w:t>1.项目主要内容。</w:t>
      </w:r>
      <w:r>
        <w:rPr>
          <w:rFonts w:hint="eastAsia" w:ascii="Times New Roman" w:hAnsi="Times New Roman" w:eastAsia="仿宋_GB2312" w:cs="仿宋_GB2312"/>
          <w:color w:val="000000" w:themeColor="text1"/>
          <w:sz w:val="32"/>
          <w:szCs w:val="32"/>
          <w14:textFill>
            <w14:solidFill>
              <w14:schemeClr w14:val="tx1"/>
            </w14:solidFill>
          </w14:textFill>
        </w:rPr>
        <w:t>攀枝花市粮食质量检验监测中心实验室改造项目，对600平方米的办公楼按实验室标准进行装修改造，对实验室废气、废水的物理、化学等处理设备及实验室台柜等配套设施设备的采购、安装和调试。</w:t>
      </w:r>
    </w:p>
    <w:p w14:paraId="2FC2466C">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eastAsia" w:ascii="Times New Roman" w:hAnsi="Times New Roman" w:eastAsia="仿宋_GB2312" w:cs="仿宋_GB2312"/>
          <w:color w:val="000000" w:themeColor="text1"/>
          <w:kern w:val="0"/>
          <w:sz w:val="32"/>
          <w:szCs w:val="32"/>
          <w:lang w:val="zh-CN"/>
          <w14:textFill>
            <w14:solidFill>
              <w14:schemeClr w14:val="tx1"/>
            </w14:solidFill>
          </w14:textFill>
        </w:rPr>
      </w:pPr>
      <w:r>
        <w:rPr>
          <w:rFonts w:hint="eastAsia" w:ascii="Times New Roman" w:hAnsi="Times New Roman" w:eastAsia="仿宋_GB2312" w:cs="仿宋_GB2312"/>
          <w:bCs/>
          <w:color w:val="000000" w:themeColor="text1"/>
          <w:sz w:val="32"/>
          <w:szCs w:val="32"/>
          <w:lang w:val="zh-CN"/>
          <w14:textFill>
            <w14:solidFill>
              <w14:schemeClr w14:val="tx1"/>
            </w14:solidFill>
          </w14:textFill>
        </w:rPr>
        <w:t>2.项目应实现的具体绩效目标，包括目标的量化、细化情况以及项目实施进度计划等。</w:t>
      </w:r>
      <w:r>
        <w:rPr>
          <w:rFonts w:hint="eastAsia" w:ascii="Times New Roman" w:hAnsi="Times New Roman" w:eastAsia="仿宋_GB2312" w:cs="仿宋_GB2312"/>
          <w:color w:val="000000" w:themeColor="text1"/>
          <w:sz w:val="32"/>
          <w:szCs w:val="32"/>
          <w14:textFill>
            <w14:solidFill>
              <w14:schemeClr w14:val="tx1"/>
            </w14:solidFill>
          </w14:textFill>
        </w:rPr>
        <w:t>一是时效目标，2024年11月底正式启动国家粮食储备库办公楼三楼、四楼的实验室改造施工工作，2025年3月底前完成全部改造工作并通过竣工验收。二是质量目标，实验室改造工程验收合格率100%，改造质量符合专业实验室建设标准及相关行业规范；配套的废气、废水处理设备、实验室台柜等设施设备安装调试合格，可稳定运行，满足实验室检验监测工作的专业技术要求。三是资金目标，严格控制项目成本，规范资金使用，确保资金专款专用，根据项目进度及合同约定合理支付款项，力争实现资金节约。</w:t>
      </w:r>
    </w:p>
    <w:p w14:paraId="26F2FC9D">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eastAsia" w:ascii="Times New Roman" w:hAnsi="Times New Roman" w:eastAsia="仿宋_GB2312" w:cs="仿宋_GB2312"/>
          <w:color w:val="000000" w:themeColor="text1"/>
          <w:kern w:val="0"/>
          <w:sz w:val="32"/>
          <w:szCs w:val="32"/>
          <w:lang w:val="zh-CN"/>
          <w14:textFill>
            <w14:solidFill>
              <w14:schemeClr w14:val="tx1"/>
            </w14:solidFill>
          </w14:textFill>
        </w:rPr>
      </w:pPr>
      <w:r>
        <w:rPr>
          <w:rFonts w:hint="eastAsia" w:ascii="Times New Roman" w:hAnsi="Times New Roman" w:eastAsia="仿宋_GB2312" w:cs="仿宋_GB2312"/>
          <w:bCs/>
          <w:color w:val="000000" w:themeColor="text1"/>
          <w:sz w:val="32"/>
          <w:szCs w:val="32"/>
          <w:lang w:val="zh-CN"/>
          <w14:textFill>
            <w14:solidFill>
              <w14:schemeClr w14:val="tx1"/>
            </w14:solidFill>
          </w14:textFill>
        </w:rPr>
        <w:t>3.</w:t>
      </w:r>
      <w:r>
        <w:rPr>
          <w:rFonts w:hint="eastAsia" w:ascii="Times New Roman" w:hAnsi="Times New Roman" w:eastAsia="仿宋_GB2312" w:cs="仿宋_GB2312"/>
          <w:color w:val="000000" w:themeColor="text1"/>
          <w:sz w:val="32"/>
          <w:szCs w:val="32"/>
          <w:lang w:val="zh-CN"/>
          <w14:textFill>
            <w14:solidFill>
              <w14:schemeClr w14:val="tx1"/>
            </w14:solidFill>
          </w14:textFill>
        </w:rPr>
        <w:t>申报内容与实验室实际需求相符，目标设定符合行业技术发展趋势，实施进度计划贴合实际、切实可行，资金预算测算严谨合理，能够有效指导项目有序推进，确保项目实施成效达到预期。</w:t>
      </w:r>
    </w:p>
    <w:p w14:paraId="54CCF2B3">
      <w:pPr>
        <w:keepNext w:val="0"/>
        <w:keepLines w:val="0"/>
        <w:pageBreakBefore w:val="0"/>
        <w:widowControl w:val="0"/>
        <w:kinsoku/>
        <w:wordWrap/>
        <w:overflowPunct/>
        <w:topLinePunct w:val="0"/>
        <w:autoSpaceDE/>
        <w:autoSpaceDN/>
        <w:bidi w:val="0"/>
        <w:adjustRightInd w:val="0"/>
        <w:snapToGrid w:val="0"/>
        <w:spacing w:line="600" w:lineRule="exact"/>
        <w:ind w:firstLine="643" w:firstLineChars="200"/>
        <w:textAlignment w:val="auto"/>
        <w:rPr>
          <w:rFonts w:hint="eastAsia" w:eastAsia="楷体_GB2312" w:cs="楷体_GB2312"/>
          <w:b/>
          <w:color w:val="000000" w:themeColor="text1"/>
          <w:sz w:val="32"/>
          <w:szCs w:val="32"/>
          <w:lang w:val="zh-CN"/>
          <w14:textFill>
            <w14:solidFill>
              <w14:schemeClr w14:val="tx1"/>
            </w14:solidFill>
          </w14:textFill>
        </w:rPr>
      </w:pPr>
      <w:r>
        <w:rPr>
          <w:rFonts w:hint="eastAsia" w:eastAsia="楷体_GB2312" w:cs="楷体_GB2312"/>
          <w:b/>
          <w:color w:val="000000" w:themeColor="text1"/>
          <w:sz w:val="32"/>
          <w:szCs w:val="32"/>
          <w:lang w:val="zh-CN"/>
          <w14:textFill>
            <w14:solidFill>
              <w14:schemeClr w14:val="tx1"/>
            </w14:solidFill>
          </w14:textFill>
        </w:rPr>
        <w:t>（三）项目自评步骤及方法</w:t>
      </w:r>
    </w:p>
    <w:p w14:paraId="10985684">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eastAsia" w:ascii="Times New Roman" w:hAnsi="Times New Roman" w:eastAsia="仿宋_GB2312" w:cs="仿宋_GB2312"/>
          <w:color w:val="000000" w:themeColor="text1"/>
          <w:kern w:val="0"/>
          <w:sz w:val="32"/>
          <w:szCs w:val="32"/>
          <w:lang w:val="zh-CN"/>
          <w14:textFill>
            <w14:solidFill>
              <w14:schemeClr w14:val="tx1"/>
            </w14:solidFill>
          </w14:textFill>
        </w:rPr>
      </w:pPr>
      <w:r>
        <w:rPr>
          <w:rFonts w:hint="eastAsia" w:ascii="Times New Roman" w:hAnsi="Times New Roman" w:eastAsia="仿宋_GB2312" w:cs="仿宋_GB2312"/>
          <w:color w:val="000000" w:themeColor="text1"/>
          <w:sz w:val="32"/>
          <w:szCs w:val="32"/>
          <w:lang w:val="zh-CN"/>
          <w14:textFill>
            <w14:solidFill>
              <w14:schemeClr w14:val="tx1"/>
            </w14:solidFill>
          </w14:textFill>
        </w:rPr>
        <w:t>为确保项目绩效自评工作客观、公正、全面，真实反映项目实施成效、资金使用情况及管理水平，本次自评严格采用定量分析与定性分析相结合的方法，按照以下步骤实施自评：一是全面梳理项目基本情况，详细核查项目资金申报、资金使用、项目实施、施工进度、竣工验收等相关资料，对照项目预设绩效目标，逐项分析目标完成情况；二是严格按照市级财政部门要求，全面收集整理项目相关佐证材料，规范填写部门预算项目支出绩效自评表，确保填报数据真实、准确、完整，有据可查；三是对照专项预算项目绩效评价指标体系，结合项目实施实际情况，逐项客观打分，形成完整的评分表，真实反映项目评价结果；四是在前期梳理、核查、评分的基础上，组织编写项目绩效自评报告，全面总结项目实施成效、梳理存在问题，提出针对性改进建议，确保报告内容全面、结论客观、重点突出。</w:t>
      </w:r>
    </w:p>
    <w:p w14:paraId="57778D46">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eastAsia" w:ascii="黑体" w:hAnsi="黑体" w:eastAsia="黑体" w:cs="黑体"/>
          <w:color w:val="000000" w:themeColor="text1"/>
          <w:sz w:val="32"/>
          <w:szCs w:val="32"/>
          <w14:textFill>
            <w14:solidFill>
              <w14:schemeClr w14:val="tx1"/>
            </w14:solidFill>
          </w14:textFill>
        </w:rPr>
      </w:pPr>
      <w:r>
        <w:rPr>
          <w:rFonts w:hint="eastAsia" w:ascii="黑体" w:hAnsi="黑体" w:eastAsia="黑体" w:cs="黑体"/>
          <w:color w:val="000000" w:themeColor="text1"/>
          <w:sz w:val="32"/>
          <w:szCs w:val="32"/>
          <w14:textFill>
            <w14:solidFill>
              <w14:schemeClr w14:val="tx1"/>
            </w14:solidFill>
          </w14:textFill>
        </w:rPr>
        <w:t>二、项目资金申报及使用情况</w:t>
      </w:r>
    </w:p>
    <w:p w14:paraId="59B7A8C8">
      <w:pPr>
        <w:keepNext w:val="0"/>
        <w:keepLines w:val="0"/>
        <w:pageBreakBefore w:val="0"/>
        <w:widowControl w:val="0"/>
        <w:kinsoku/>
        <w:wordWrap/>
        <w:overflowPunct/>
        <w:topLinePunct w:val="0"/>
        <w:autoSpaceDE/>
        <w:autoSpaceDN/>
        <w:bidi w:val="0"/>
        <w:adjustRightInd w:val="0"/>
        <w:snapToGrid w:val="0"/>
        <w:spacing w:line="600" w:lineRule="exact"/>
        <w:ind w:firstLine="643" w:firstLineChars="200"/>
        <w:textAlignment w:val="auto"/>
        <w:rPr>
          <w:rFonts w:hint="eastAsia" w:eastAsia="楷体_GB2312" w:cs="楷体_GB2312"/>
          <w:b/>
          <w:color w:val="000000" w:themeColor="text1"/>
          <w:sz w:val="32"/>
          <w:szCs w:val="32"/>
          <w:lang w:val="zh-CN"/>
          <w14:textFill>
            <w14:solidFill>
              <w14:schemeClr w14:val="tx1"/>
            </w14:solidFill>
          </w14:textFill>
        </w:rPr>
      </w:pPr>
      <w:r>
        <w:rPr>
          <w:rFonts w:hint="eastAsia" w:eastAsia="楷体_GB2312" w:cs="楷体_GB2312"/>
          <w:b/>
          <w:color w:val="000000" w:themeColor="text1"/>
          <w:sz w:val="32"/>
          <w:szCs w:val="32"/>
          <w:lang w:val="zh-CN"/>
          <w14:textFill>
            <w14:solidFill>
              <w14:schemeClr w14:val="tx1"/>
            </w14:solidFill>
          </w14:textFill>
        </w:rPr>
        <w:t>（一）项目资金申报及批复情况</w:t>
      </w:r>
    </w:p>
    <w:p w14:paraId="1D99878C">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eastAsia" w:ascii="Times New Roman" w:hAnsi="Times New Roman" w:eastAsia="仿宋_GB2312" w:cs="仿宋_GB2312"/>
          <w:color w:val="000000" w:themeColor="text1"/>
          <w:kern w:val="0"/>
          <w:sz w:val="32"/>
          <w:szCs w:val="32"/>
          <w14:textFill>
            <w14:solidFill>
              <w14:schemeClr w14:val="tx1"/>
            </w14:solidFill>
          </w14:textFill>
        </w:rPr>
      </w:pPr>
      <w:r>
        <w:rPr>
          <w:rFonts w:hint="eastAsia" w:ascii="Times New Roman" w:hAnsi="Times New Roman" w:eastAsia="仿宋_GB2312" w:cs="仿宋_GB2312"/>
          <w:color w:val="000000" w:themeColor="text1"/>
          <w:sz w:val="32"/>
          <w:szCs w:val="32"/>
          <w14:textFill>
            <w14:solidFill>
              <w14:schemeClr w14:val="tx1"/>
            </w14:solidFill>
          </w14:textFill>
        </w:rPr>
        <w:t>2024年初，市财政安排预算资金401.1万元，用于攀枝花市粮食质量检验监测中心实验室改造、实验室设备添置及运行，其中，实验室改造经费124.1万元，实验室设备添置经费257万元，实验室运行20万元。2024年7月，经请示市政府同意，实验室改造经费由124.1万元调整为196.3万元，实验室设备添置经费由257万元调整为139.98万元</w:t>
      </w:r>
      <w:r>
        <w:rPr>
          <w:rFonts w:hint="eastAsia" w:ascii="Times New Roman" w:hAnsi="Times New Roman" w:eastAsia="仿宋_GB2312" w:cs="仿宋_GB2312"/>
          <w:color w:val="000000" w:themeColor="text1"/>
          <w:sz w:val="32"/>
          <w:szCs w:val="32"/>
          <w:lang w:val="zh-CN"/>
          <w14:textFill>
            <w14:solidFill>
              <w14:schemeClr w14:val="tx1"/>
            </w14:solidFill>
          </w14:textFill>
        </w:rPr>
        <w:t>。</w:t>
      </w:r>
      <w:r>
        <w:rPr>
          <w:rFonts w:hint="eastAsia" w:ascii="Times New Roman" w:hAnsi="Times New Roman" w:eastAsia="仿宋_GB2312" w:cs="仿宋_GB2312"/>
          <w:color w:val="000000" w:themeColor="text1"/>
          <w:sz w:val="32"/>
          <w:szCs w:val="32"/>
          <w14:textFill>
            <w14:solidFill>
              <w14:schemeClr w14:val="tx1"/>
            </w14:solidFill>
          </w14:textFill>
        </w:rPr>
        <w:t>2025年3月实验室改造项目结余资金84.54万元结转使用。</w:t>
      </w:r>
    </w:p>
    <w:p w14:paraId="38074B44">
      <w:pPr>
        <w:keepNext w:val="0"/>
        <w:keepLines w:val="0"/>
        <w:pageBreakBefore w:val="0"/>
        <w:widowControl w:val="0"/>
        <w:kinsoku/>
        <w:wordWrap/>
        <w:overflowPunct/>
        <w:topLinePunct w:val="0"/>
        <w:autoSpaceDE/>
        <w:autoSpaceDN/>
        <w:bidi w:val="0"/>
        <w:adjustRightInd w:val="0"/>
        <w:snapToGrid w:val="0"/>
        <w:spacing w:line="600" w:lineRule="exact"/>
        <w:ind w:firstLine="643" w:firstLineChars="200"/>
        <w:textAlignment w:val="auto"/>
        <w:rPr>
          <w:rFonts w:hint="eastAsia" w:ascii="Times New Roman" w:hAnsi="Times New Roman" w:eastAsia="仿宋_GB2312" w:cs="仿宋_GB2312"/>
          <w:b/>
          <w:color w:val="000000" w:themeColor="text1"/>
          <w:sz w:val="32"/>
          <w:szCs w:val="32"/>
          <w:lang w:val="zh-CN"/>
          <w14:textFill>
            <w14:solidFill>
              <w14:schemeClr w14:val="tx1"/>
            </w14:solidFill>
          </w14:textFill>
        </w:rPr>
      </w:pPr>
      <w:r>
        <w:rPr>
          <w:rFonts w:hint="eastAsia" w:eastAsia="楷体_GB2312" w:cs="楷体_GB2312"/>
          <w:b/>
          <w:color w:val="000000" w:themeColor="text1"/>
          <w:sz w:val="32"/>
          <w:szCs w:val="32"/>
          <w:lang w:val="zh-CN"/>
          <w14:textFill>
            <w14:solidFill>
              <w14:schemeClr w14:val="tx1"/>
            </w14:solidFill>
          </w14:textFill>
        </w:rPr>
        <w:t>（二）资金计划、到位及使用情况</w:t>
      </w:r>
    </w:p>
    <w:p w14:paraId="0CD4E8BB">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eastAsia" w:ascii="Times New Roman" w:hAnsi="Times New Roman" w:eastAsia="仿宋_GB2312" w:cs="仿宋_GB2312"/>
          <w:color w:val="000000" w:themeColor="text1"/>
          <w:kern w:val="0"/>
          <w:sz w:val="32"/>
          <w:szCs w:val="32"/>
          <w:lang w:val="zh-CN"/>
          <w14:textFill>
            <w14:solidFill>
              <w14:schemeClr w14:val="tx1"/>
            </w14:solidFill>
          </w14:textFill>
        </w:rPr>
      </w:pPr>
      <w:r>
        <w:rPr>
          <w:rFonts w:hint="eastAsia" w:ascii="Times New Roman" w:hAnsi="Times New Roman" w:eastAsia="仿宋_GB2312" w:cs="仿宋_GB2312"/>
          <w:bCs/>
          <w:color w:val="000000" w:themeColor="text1"/>
          <w:sz w:val="32"/>
          <w:szCs w:val="32"/>
          <w:lang w:val="zh-CN"/>
          <w14:textFill>
            <w14:solidFill>
              <w14:schemeClr w14:val="tx1"/>
            </w14:solidFill>
          </w14:textFill>
        </w:rPr>
        <w:t>1</w:t>
      </w:r>
      <w:r>
        <w:rPr>
          <w:rFonts w:hint="eastAsia" w:ascii="Times New Roman" w:hAnsi="Times New Roman" w:eastAsia="仿宋_GB2312" w:cs="仿宋_GB2312"/>
          <w:bCs/>
          <w:color w:val="000000" w:themeColor="text1"/>
          <w:sz w:val="32"/>
          <w:szCs w:val="32"/>
          <w14:textFill>
            <w14:solidFill>
              <w14:schemeClr w14:val="tx1"/>
            </w14:solidFill>
          </w14:textFill>
        </w:rPr>
        <w:t>.</w:t>
      </w:r>
      <w:r>
        <w:rPr>
          <w:rFonts w:hint="eastAsia" w:ascii="Times New Roman" w:hAnsi="Times New Roman" w:eastAsia="仿宋_GB2312" w:cs="仿宋_GB2312"/>
          <w:bCs/>
          <w:color w:val="000000" w:themeColor="text1"/>
          <w:sz w:val="32"/>
          <w:szCs w:val="32"/>
          <w:lang w:val="zh-CN"/>
          <w14:textFill>
            <w14:solidFill>
              <w14:schemeClr w14:val="tx1"/>
            </w14:solidFill>
          </w14:textFill>
        </w:rPr>
        <w:t>资金计划。</w:t>
      </w:r>
      <w:r>
        <w:rPr>
          <w:rFonts w:hint="eastAsia" w:ascii="Times New Roman" w:hAnsi="Times New Roman" w:eastAsia="仿宋_GB2312" w:cs="仿宋_GB2312"/>
          <w:color w:val="000000" w:themeColor="text1"/>
          <w:sz w:val="32"/>
          <w:szCs w:val="32"/>
          <w:lang w:val="zh-CN"/>
          <w14:textFill>
            <w14:solidFill>
              <w14:schemeClr w14:val="tx1"/>
            </w14:solidFill>
          </w14:textFill>
        </w:rPr>
        <w:t>资金为</w:t>
      </w:r>
      <w:r>
        <w:rPr>
          <w:rFonts w:hint="eastAsia" w:ascii="Times New Roman" w:hAnsi="Times New Roman" w:eastAsia="仿宋_GB2312" w:cs="仿宋_GB2312"/>
          <w:color w:val="000000" w:themeColor="text1"/>
          <w:sz w:val="32"/>
          <w:szCs w:val="32"/>
          <w14:textFill>
            <w14:solidFill>
              <w14:schemeClr w14:val="tx1"/>
            </w14:solidFill>
          </w14:textFill>
        </w:rPr>
        <w:t>84.54</w:t>
      </w:r>
      <w:r>
        <w:rPr>
          <w:rFonts w:hint="eastAsia" w:ascii="Times New Roman" w:hAnsi="Times New Roman" w:eastAsia="仿宋_GB2312" w:cs="仿宋_GB2312"/>
          <w:color w:val="000000" w:themeColor="text1"/>
          <w:sz w:val="32"/>
          <w:szCs w:val="32"/>
          <w:lang w:val="zh-CN"/>
          <w14:textFill>
            <w14:solidFill>
              <w14:schemeClr w14:val="tx1"/>
            </w14:solidFill>
          </w14:textFill>
        </w:rPr>
        <w:t>万元，均为市级财政资金。</w:t>
      </w:r>
    </w:p>
    <w:p w14:paraId="335AA4E3">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eastAsia" w:ascii="Times New Roman" w:hAnsi="Times New Roman" w:eastAsia="仿宋_GB2312" w:cs="仿宋_GB2312"/>
          <w:color w:val="000000" w:themeColor="text1"/>
          <w:kern w:val="0"/>
          <w:sz w:val="32"/>
          <w:szCs w:val="32"/>
          <w:lang w:val="zh-CN"/>
          <w14:textFill>
            <w14:solidFill>
              <w14:schemeClr w14:val="tx1"/>
            </w14:solidFill>
          </w14:textFill>
        </w:rPr>
      </w:pPr>
      <w:r>
        <w:rPr>
          <w:rFonts w:hint="eastAsia" w:ascii="Times New Roman" w:hAnsi="Times New Roman" w:eastAsia="仿宋_GB2312" w:cs="仿宋_GB2312"/>
          <w:bCs/>
          <w:color w:val="000000" w:themeColor="text1"/>
          <w:sz w:val="32"/>
          <w:szCs w:val="32"/>
          <w:lang w:val="zh-CN"/>
          <w14:textFill>
            <w14:solidFill>
              <w14:schemeClr w14:val="tx1"/>
            </w14:solidFill>
          </w14:textFill>
        </w:rPr>
        <w:t>2</w:t>
      </w:r>
      <w:r>
        <w:rPr>
          <w:rFonts w:hint="eastAsia" w:ascii="Times New Roman" w:hAnsi="Times New Roman" w:eastAsia="仿宋_GB2312" w:cs="仿宋_GB2312"/>
          <w:bCs/>
          <w:color w:val="000000" w:themeColor="text1"/>
          <w:sz w:val="32"/>
          <w:szCs w:val="32"/>
          <w14:textFill>
            <w14:solidFill>
              <w14:schemeClr w14:val="tx1"/>
            </w14:solidFill>
          </w14:textFill>
        </w:rPr>
        <w:t>.</w:t>
      </w:r>
      <w:r>
        <w:rPr>
          <w:rFonts w:hint="eastAsia" w:ascii="Times New Roman" w:hAnsi="Times New Roman" w:eastAsia="仿宋_GB2312" w:cs="仿宋_GB2312"/>
          <w:bCs/>
          <w:color w:val="000000" w:themeColor="text1"/>
          <w:sz w:val="32"/>
          <w:szCs w:val="32"/>
          <w:lang w:val="zh-CN"/>
          <w14:textFill>
            <w14:solidFill>
              <w14:schemeClr w14:val="tx1"/>
            </w14:solidFill>
          </w14:textFill>
        </w:rPr>
        <w:t>资金到位。</w:t>
      </w:r>
      <w:r>
        <w:rPr>
          <w:rFonts w:hint="eastAsia" w:ascii="Times New Roman" w:hAnsi="Times New Roman" w:eastAsia="仿宋_GB2312" w:cs="仿宋_GB2312"/>
          <w:color w:val="000000" w:themeColor="text1"/>
          <w:sz w:val="32"/>
          <w:szCs w:val="32"/>
          <w:lang w:val="zh-CN"/>
          <w14:textFill>
            <w14:solidFill>
              <w14:schemeClr w14:val="tx1"/>
            </w14:solidFill>
          </w14:textFill>
        </w:rPr>
        <w:t>该项目资金</w:t>
      </w:r>
      <w:r>
        <w:rPr>
          <w:rFonts w:hint="eastAsia" w:ascii="Times New Roman" w:hAnsi="Times New Roman" w:eastAsia="仿宋_GB2312" w:cs="仿宋_GB2312"/>
          <w:color w:val="000000" w:themeColor="text1"/>
          <w:sz w:val="32"/>
          <w:szCs w:val="32"/>
          <w14:textFill>
            <w14:solidFill>
              <w14:schemeClr w14:val="tx1"/>
            </w14:solidFill>
          </w14:textFill>
        </w:rPr>
        <w:t>84.54</w:t>
      </w:r>
      <w:r>
        <w:rPr>
          <w:rFonts w:hint="eastAsia" w:ascii="Times New Roman" w:hAnsi="Times New Roman" w:eastAsia="仿宋_GB2312" w:cs="仿宋_GB2312"/>
          <w:color w:val="000000" w:themeColor="text1"/>
          <w:sz w:val="32"/>
          <w:szCs w:val="32"/>
          <w:lang w:val="zh-CN"/>
          <w14:textFill>
            <w14:solidFill>
              <w14:schemeClr w14:val="tx1"/>
            </w14:solidFill>
          </w14:textFill>
        </w:rPr>
        <w:t>万元于</w:t>
      </w:r>
      <w:r>
        <w:rPr>
          <w:rFonts w:hint="eastAsia" w:ascii="Times New Roman" w:hAnsi="Times New Roman" w:eastAsia="仿宋_GB2312" w:cs="仿宋_GB2312"/>
          <w:color w:val="000000" w:themeColor="text1"/>
          <w:sz w:val="32"/>
          <w:szCs w:val="32"/>
          <w14:textFill>
            <w14:solidFill>
              <w14:schemeClr w14:val="tx1"/>
            </w14:solidFill>
          </w14:textFill>
        </w:rPr>
        <w:t>2025年4月到位</w:t>
      </w:r>
      <w:r>
        <w:rPr>
          <w:rFonts w:hint="eastAsia" w:ascii="Times New Roman" w:hAnsi="Times New Roman" w:eastAsia="仿宋_GB2312" w:cs="仿宋_GB2312"/>
          <w:color w:val="000000" w:themeColor="text1"/>
          <w:sz w:val="32"/>
          <w:szCs w:val="32"/>
          <w:lang w:val="zh-CN"/>
          <w14:textFill>
            <w14:solidFill>
              <w14:schemeClr w14:val="tx1"/>
            </w14:solidFill>
          </w14:textFill>
        </w:rPr>
        <w:t>。资金到位情况与资金计划</w:t>
      </w:r>
      <w:r>
        <w:rPr>
          <w:rFonts w:hint="eastAsia" w:ascii="Times New Roman" w:hAnsi="Times New Roman" w:eastAsia="仿宋_GB2312" w:cs="仿宋_GB2312"/>
          <w:color w:val="000000" w:themeColor="text1"/>
          <w:sz w:val="32"/>
          <w:szCs w:val="32"/>
          <w14:textFill>
            <w14:solidFill>
              <w14:schemeClr w14:val="tx1"/>
            </w14:solidFill>
          </w14:textFill>
        </w:rPr>
        <w:t>相符</w:t>
      </w:r>
      <w:r>
        <w:rPr>
          <w:rFonts w:hint="eastAsia" w:ascii="Times New Roman" w:hAnsi="Times New Roman" w:eastAsia="仿宋_GB2312" w:cs="仿宋_GB2312"/>
          <w:color w:val="000000" w:themeColor="text1"/>
          <w:sz w:val="32"/>
          <w:szCs w:val="32"/>
          <w:lang w:val="zh-CN"/>
          <w14:textFill>
            <w14:solidFill>
              <w14:schemeClr w14:val="tx1"/>
            </w14:solidFill>
          </w14:textFill>
        </w:rPr>
        <w:t>，资金到位率100%、到位及时性满足使用要求。</w:t>
      </w:r>
    </w:p>
    <w:p w14:paraId="786211AB">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eastAsia" w:ascii="Times New Roman" w:hAnsi="Times New Roman" w:eastAsia="仿宋_GB2312" w:cs="仿宋_GB2312"/>
          <w:color w:val="000000" w:themeColor="text1"/>
          <w:kern w:val="0"/>
          <w:sz w:val="32"/>
          <w:szCs w:val="32"/>
          <w:lang w:val="zh-CN"/>
          <w14:textFill>
            <w14:solidFill>
              <w14:schemeClr w14:val="tx1"/>
            </w14:solidFill>
          </w14:textFill>
        </w:rPr>
      </w:pPr>
      <w:r>
        <w:rPr>
          <w:rFonts w:hint="eastAsia" w:ascii="Times New Roman" w:hAnsi="Times New Roman" w:eastAsia="仿宋_GB2312" w:cs="仿宋_GB2312"/>
          <w:bCs/>
          <w:color w:val="000000" w:themeColor="text1"/>
          <w:sz w:val="32"/>
          <w:szCs w:val="32"/>
          <w:lang w:val="zh-CN"/>
          <w14:textFill>
            <w14:solidFill>
              <w14:schemeClr w14:val="tx1"/>
            </w14:solidFill>
          </w14:textFill>
        </w:rPr>
        <w:t>3</w:t>
      </w:r>
      <w:r>
        <w:rPr>
          <w:rFonts w:hint="eastAsia" w:ascii="Times New Roman" w:hAnsi="Times New Roman" w:eastAsia="仿宋_GB2312" w:cs="仿宋_GB2312"/>
          <w:bCs/>
          <w:color w:val="000000" w:themeColor="text1"/>
          <w:sz w:val="32"/>
          <w:szCs w:val="32"/>
          <w14:textFill>
            <w14:solidFill>
              <w14:schemeClr w14:val="tx1"/>
            </w14:solidFill>
          </w14:textFill>
        </w:rPr>
        <w:t>.</w:t>
      </w:r>
      <w:r>
        <w:rPr>
          <w:rFonts w:hint="eastAsia" w:ascii="Times New Roman" w:hAnsi="Times New Roman" w:eastAsia="仿宋_GB2312" w:cs="仿宋_GB2312"/>
          <w:bCs/>
          <w:color w:val="000000" w:themeColor="text1"/>
          <w:sz w:val="32"/>
          <w:szCs w:val="32"/>
          <w:lang w:val="zh-CN"/>
          <w14:textFill>
            <w14:solidFill>
              <w14:schemeClr w14:val="tx1"/>
            </w14:solidFill>
          </w14:textFill>
        </w:rPr>
        <w:t>资金使用。</w:t>
      </w:r>
      <w:r>
        <w:rPr>
          <w:rFonts w:hint="eastAsia" w:ascii="Times New Roman" w:hAnsi="Times New Roman" w:eastAsia="仿宋_GB2312" w:cs="仿宋_GB2312"/>
          <w:color w:val="000000" w:themeColor="text1"/>
          <w:sz w:val="32"/>
          <w:szCs w:val="32"/>
          <w:lang w:val="zh-CN"/>
          <w14:textFill>
            <w14:solidFill>
              <w14:schemeClr w14:val="tx1"/>
            </w14:solidFill>
          </w14:textFill>
        </w:rPr>
        <w:t>项目实施完成后，已按规定完成竣工结算审核工作，经审核，项目审减</w:t>
      </w:r>
      <w:r>
        <w:rPr>
          <w:rFonts w:hint="eastAsia" w:ascii="Times New Roman" w:hAnsi="Times New Roman" w:eastAsia="仿宋_GB2312" w:cs="仿宋_GB2312"/>
          <w:color w:val="000000" w:themeColor="text1"/>
          <w:sz w:val="32"/>
          <w:szCs w:val="32"/>
          <w14:textFill>
            <w14:solidFill>
              <w14:schemeClr w14:val="tx1"/>
            </w14:solidFill>
          </w14:textFill>
        </w:rPr>
        <w:t>95,436.31元</w:t>
      </w:r>
      <w:r>
        <w:rPr>
          <w:rFonts w:hint="eastAsia" w:ascii="Times New Roman" w:hAnsi="Times New Roman" w:eastAsia="仿宋_GB2312" w:cs="仿宋_GB2312"/>
          <w:color w:val="000000" w:themeColor="text1"/>
          <w:sz w:val="32"/>
          <w:szCs w:val="32"/>
          <w:lang w:val="zh-CN"/>
          <w14:textFill>
            <w14:solidFill>
              <w14:schemeClr w14:val="tx1"/>
            </w14:solidFill>
          </w14:textFill>
        </w:rPr>
        <w:t>，审减率</w:t>
      </w:r>
      <w:r>
        <w:rPr>
          <w:rFonts w:hint="eastAsia" w:ascii="Times New Roman" w:hAnsi="Times New Roman" w:eastAsia="仿宋_GB2312" w:cs="仿宋_GB2312"/>
          <w:color w:val="000000" w:themeColor="text1"/>
          <w:sz w:val="32"/>
          <w:szCs w:val="32"/>
          <w14:textFill>
            <w14:solidFill>
              <w14:schemeClr w14:val="tx1"/>
            </w14:solidFill>
          </w14:textFill>
        </w:rPr>
        <w:t>5.0%</w:t>
      </w:r>
      <w:r>
        <w:rPr>
          <w:rFonts w:hint="eastAsia" w:ascii="Times New Roman" w:hAnsi="Times New Roman" w:eastAsia="仿宋_GB2312" w:cs="仿宋_GB2312"/>
          <w:color w:val="000000" w:themeColor="text1"/>
          <w:sz w:val="32"/>
          <w:szCs w:val="32"/>
          <w:lang w:val="zh-CN"/>
          <w14:textFill>
            <w14:solidFill>
              <w14:schemeClr w14:val="tx1"/>
            </w14:solidFill>
          </w14:textFill>
        </w:rPr>
        <w:t>，审减程序合规、依据充分。资金支付严格遵循合同约定，按照项目施工及采购各阶段进度，分批次足额支付相关经费；其中，项目尾款54</w:t>
      </w:r>
      <w:r>
        <w:rPr>
          <w:rFonts w:hint="eastAsia" w:ascii="Times New Roman" w:hAnsi="Times New Roman" w:eastAsia="仿宋_GB2312" w:cs="仿宋_GB2312"/>
          <w:color w:val="000000" w:themeColor="text1"/>
          <w:sz w:val="32"/>
          <w:szCs w:val="32"/>
          <w14:textFill>
            <w14:solidFill>
              <w14:schemeClr w14:val="tx1"/>
            </w14:solidFill>
          </w14:textFill>
        </w:rPr>
        <w:t>,</w:t>
      </w:r>
      <w:r>
        <w:rPr>
          <w:rFonts w:hint="eastAsia" w:ascii="Times New Roman" w:hAnsi="Times New Roman" w:eastAsia="仿宋_GB2312" w:cs="仿宋_GB2312"/>
          <w:color w:val="000000" w:themeColor="text1"/>
          <w:sz w:val="32"/>
          <w:szCs w:val="32"/>
          <w:lang w:val="zh-CN"/>
          <w14:textFill>
            <w14:solidFill>
              <w14:schemeClr w14:val="tx1"/>
            </w14:solidFill>
          </w14:textFill>
        </w:rPr>
        <w:t>199.63元（占审定价格的3%），根据合同约定，须在项目验收合格满一年且无任何质量问题后，按程序支付。截至本次自评结束，项目资金使用率为85.26%，资金支付范围为攀枝花市粮食质量检验监测中心实验室改造费用、实验室设计费、监理服务费、专家评审费、竣工结算审核费等费用，已支付款项的支付进度为100%，支付依据合法合规、完整齐全，与预算安排及项目用途相符。目前剩余资金，主要为待满足支付条件的项目质保金及竣工结算审核相关费用，待达到合同约定支付标准后，将及时按程序足额支付。</w:t>
      </w:r>
    </w:p>
    <w:p w14:paraId="691455DE">
      <w:pPr>
        <w:keepNext w:val="0"/>
        <w:keepLines w:val="0"/>
        <w:pageBreakBefore w:val="0"/>
        <w:widowControl w:val="0"/>
        <w:kinsoku/>
        <w:wordWrap/>
        <w:overflowPunct/>
        <w:topLinePunct w:val="0"/>
        <w:autoSpaceDE/>
        <w:autoSpaceDN/>
        <w:bidi w:val="0"/>
        <w:adjustRightInd w:val="0"/>
        <w:snapToGrid w:val="0"/>
        <w:spacing w:line="600" w:lineRule="exact"/>
        <w:ind w:firstLine="643" w:firstLineChars="200"/>
        <w:textAlignment w:val="auto"/>
        <w:rPr>
          <w:rFonts w:hint="eastAsia" w:ascii="Times New Roman" w:hAnsi="Times New Roman" w:eastAsia="仿宋_GB2312" w:cs="仿宋_GB2312"/>
          <w:b/>
          <w:color w:val="000000" w:themeColor="text1"/>
          <w:sz w:val="32"/>
          <w:szCs w:val="32"/>
          <w:lang w:val="zh-CN"/>
          <w14:textFill>
            <w14:solidFill>
              <w14:schemeClr w14:val="tx1"/>
            </w14:solidFill>
          </w14:textFill>
        </w:rPr>
      </w:pPr>
      <w:r>
        <w:rPr>
          <w:rFonts w:hint="eastAsia" w:eastAsia="楷体_GB2312" w:cs="楷体_GB2312"/>
          <w:b/>
          <w:color w:val="000000" w:themeColor="text1"/>
          <w:sz w:val="32"/>
          <w:szCs w:val="32"/>
          <w:lang w:val="zh-CN"/>
          <w14:textFill>
            <w14:solidFill>
              <w14:schemeClr w14:val="tx1"/>
            </w14:solidFill>
          </w14:textFill>
        </w:rPr>
        <w:t>（三）项目财务管理情况</w:t>
      </w:r>
    </w:p>
    <w:p w14:paraId="40AD3EC9">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eastAsia" w:ascii="Times New Roman" w:hAnsi="Times New Roman" w:eastAsia="仿宋_GB2312" w:cs="仿宋_GB2312"/>
          <w:color w:val="000000" w:themeColor="text1"/>
          <w:kern w:val="0"/>
          <w:sz w:val="32"/>
          <w:szCs w:val="32"/>
          <w:lang w:val="zh-CN"/>
          <w14:textFill>
            <w14:solidFill>
              <w14:schemeClr w14:val="tx1"/>
            </w14:solidFill>
          </w14:textFill>
        </w:rPr>
      </w:pPr>
      <w:r>
        <w:rPr>
          <w:rFonts w:hint="eastAsia" w:ascii="Times New Roman" w:hAnsi="Times New Roman" w:eastAsia="仿宋_GB2312" w:cs="仿宋_GB2312"/>
          <w:color w:val="000000" w:themeColor="text1"/>
          <w:sz w:val="32"/>
          <w:szCs w:val="32"/>
          <w:lang w:val="zh-CN"/>
          <w14:textFill>
            <w14:solidFill>
              <w14:schemeClr w14:val="tx1"/>
            </w14:solidFill>
          </w14:textFill>
        </w:rPr>
        <w:t>该项目实施单位财务管理制度健全，严格执行财务管理制度，账务处理及时，会计核算规范，无违规记录。资金使用过程中，严格执行专款专用、分级审批制度，所有资金支付均提供合法、有效的原始凭证、合同协议等佐证材料，经审核无误后按程序支付；账务处理及时规范，会计核算清晰准确，严格区分项目资金与日常公用经费，做到账证相符、账账相符、账实相符，确保项目资金专款专用、规范运行。</w:t>
      </w:r>
    </w:p>
    <w:p w14:paraId="0F0F6750">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eastAsia" w:ascii="黑体" w:hAnsi="黑体" w:eastAsia="黑体" w:cs="黑体"/>
          <w:color w:val="000000" w:themeColor="text1"/>
          <w:sz w:val="32"/>
          <w:szCs w:val="32"/>
          <w14:textFill>
            <w14:solidFill>
              <w14:schemeClr w14:val="tx1"/>
            </w14:solidFill>
          </w14:textFill>
        </w:rPr>
      </w:pPr>
      <w:r>
        <w:rPr>
          <w:rFonts w:hint="eastAsia" w:ascii="黑体" w:hAnsi="黑体" w:eastAsia="黑体" w:cs="黑体"/>
          <w:color w:val="000000" w:themeColor="text1"/>
          <w:sz w:val="32"/>
          <w:szCs w:val="32"/>
          <w14:textFill>
            <w14:solidFill>
              <w14:schemeClr w14:val="tx1"/>
            </w14:solidFill>
          </w14:textFill>
        </w:rPr>
        <w:t>三、项目实施及管理情况</w:t>
      </w:r>
    </w:p>
    <w:p w14:paraId="15846674">
      <w:pPr>
        <w:keepNext w:val="0"/>
        <w:keepLines w:val="0"/>
        <w:pageBreakBefore w:val="0"/>
        <w:widowControl w:val="0"/>
        <w:kinsoku/>
        <w:wordWrap/>
        <w:overflowPunct/>
        <w:topLinePunct w:val="0"/>
        <w:autoSpaceDE/>
        <w:autoSpaceDN/>
        <w:bidi w:val="0"/>
        <w:adjustRightInd w:val="0"/>
        <w:snapToGrid w:val="0"/>
        <w:spacing w:line="600" w:lineRule="exact"/>
        <w:ind w:firstLine="643" w:firstLineChars="200"/>
        <w:textAlignment w:val="auto"/>
        <w:rPr>
          <w:rFonts w:hint="eastAsia" w:ascii="Times New Roman" w:hAnsi="Times New Roman" w:eastAsia="仿宋_GB2312" w:cs="仿宋_GB2312"/>
          <w:color w:val="000000" w:themeColor="text1"/>
          <w:kern w:val="0"/>
          <w:sz w:val="32"/>
          <w:szCs w:val="32"/>
          <w:lang w:val="zh-CN"/>
          <w14:textFill>
            <w14:solidFill>
              <w14:schemeClr w14:val="tx1"/>
            </w14:solidFill>
          </w14:textFill>
        </w:rPr>
      </w:pPr>
      <w:r>
        <w:rPr>
          <w:rFonts w:hint="eastAsia" w:eastAsia="楷体_GB2312" w:cs="楷体_GB2312"/>
          <w:b/>
          <w:color w:val="000000" w:themeColor="text1"/>
          <w:sz w:val="32"/>
          <w:szCs w:val="32"/>
          <w:lang w:val="zh-CN"/>
          <w14:textFill>
            <w14:solidFill>
              <w14:schemeClr w14:val="tx1"/>
            </w14:solidFill>
          </w14:textFill>
        </w:rPr>
        <w:t>（一）项目组织架构及实施流程。</w:t>
      </w:r>
      <w:r>
        <w:rPr>
          <w:rFonts w:hint="eastAsia" w:ascii="Times New Roman" w:hAnsi="Times New Roman" w:eastAsia="仿宋_GB2312" w:cs="仿宋_GB2312"/>
          <w:color w:val="000000" w:themeColor="text1"/>
          <w:sz w:val="32"/>
          <w:szCs w:val="32"/>
          <w:lang w:val="zh-CN"/>
          <w14:textFill>
            <w14:solidFill>
              <w14:schemeClr w14:val="tx1"/>
            </w14:solidFill>
          </w14:textFill>
        </w:rPr>
        <w:t>为保障项目顺利实施，明确职责分工、压实工作责任，建立了权责清晰、统筹高效的项目组织实施体系。项目由市发展改革委牵头统筹管理，其下属事业单位市重要和应急物资储备中心作为具体实施单位，负责项目的日常组织、协调、推进及管理工作。项目实施流程严格规范，具体如下：一是市发展改革委牵头组织，严格按照政府采购相关流程，开展实验室改造项目的设计、施工、监理等环节的招标工作，择优确定中标单位；二是招标工作完成后，及时与中标单位签订正式合同，明确双方权利义务、施工标准、进度要求、质量规范、付款方式、售后服务及违约责任等相关条款；三是中标单位进场施工后，统筹推进实验室装修改造、配套设备采购安装等各项工作；四是项目完工后，组织施工、设计、监理等相关单位及专业人员，开展项目竣工验收工作，确保项目达到预设标准后交付使用。</w:t>
      </w:r>
    </w:p>
    <w:p w14:paraId="45140364">
      <w:pPr>
        <w:keepNext w:val="0"/>
        <w:keepLines w:val="0"/>
        <w:pageBreakBefore w:val="0"/>
        <w:widowControl w:val="0"/>
        <w:kinsoku/>
        <w:wordWrap/>
        <w:overflowPunct/>
        <w:topLinePunct w:val="0"/>
        <w:autoSpaceDE/>
        <w:autoSpaceDN/>
        <w:bidi w:val="0"/>
        <w:adjustRightInd w:val="0"/>
        <w:snapToGrid w:val="0"/>
        <w:spacing w:line="600" w:lineRule="exact"/>
        <w:ind w:firstLine="643" w:firstLineChars="200"/>
        <w:textAlignment w:val="auto"/>
        <w:rPr>
          <w:rFonts w:hint="eastAsia" w:ascii="Times New Roman" w:hAnsi="Times New Roman" w:eastAsia="仿宋_GB2312" w:cs="仿宋_GB2312"/>
          <w:color w:val="000000" w:themeColor="text1"/>
          <w:kern w:val="0"/>
          <w:sz w:val="32"/>
          <w:szCs w:val="32"/>
          <w:lang w:val="zh-CN"/>
          <w14:textFill>
            <w14:solidFill>
              <w14:schemeClr w14:val="tx1"/>
            </w14:solidFill>
          </w14:textFill>
        </w:rPr>
      </w:pPr>
      <w:r>
        <w:rPr>
          <w:rFonts w:hint="eastAsia" w:eastAsia="楷体_GB2312" w:cs="楷体_GB2312"/>
          <w:b/>
          <w:color w:val="000000" w:themeColor="text1"/>
          <w:sz w:val="32"/>
          <w:szCs w:val="32"/>
          <w:lang w:val="zh-CN"/>
          <w14:textFill>
            <w14:solidFill>
              <w14:schemeClr w14:val="tx1"/>
            </w14:solidFill>
          </w14:textFill>
        </w:rPr>
        <w:t>（二）项目管理情况。</w:t>
      </w:r>
      <w:r>
        <w:rPr>
          <w:rFonts w:hint="eastAsia" w:ascii="Times New Roman" w:hAnsi="Times New Roman" w:eastAsia="仿宋_GB2312" w:cs="仿宋_GB2312"/>
          <w:color w:val="000000" w:themeColor="text1"/>
          <w:sz w:val="32"/>
          <w:szCs w:val="32"/>
          <w:lang w:val="zh-CN"/>
          <w14:textFill>
            <w14:solidFill>
              <w14:schemeClr w14:val="tx1"/>
            </w14:solidFill>
          </w14:textFill>
        </w:rPr>
        <w:t>各项目实施单位严格执行相关法律法规及项目管理制度，招投标、政府采购、公示等程序合法合规。一是严格规范招投标及政府采购流程，招标公告、中标公示等均按要求在指定平台发布，接受社会监督，确保招标过程公开、公平、公正；二是加强合同管理，建立完善的合同台账，明确合同履行节点，定期跟踪合同履行情况，及时协调解决合同履行过程中出现的问题，保障合同顺利履行；三是严格落实项目管理制度，规范施工流程，确保项目实施各环节管控到位。</w:t>
      </w:r>
    </w:p>
    <w:p w14:paraId="65D13457">
      <w:pPr>
        <w:keepNext w:val="0"/>
        <w:keepLines w:val="0"/>
        <w:pageBreakBefore w:val="0"/>
        <w:widowControl w:val="0"/>
        <w:kinsoku/>
        <w:wordWrap/>
        <w:overflowPunct/>
        <w:topLinePunct w:val="0"/>
        <w:autoSpaceDE/>
        <w:autoSpaceDN/>
        <w:bidi w:val="0"/>
        <w:adjustRightInd w:val="0"/>
        <w:snapToGrid w:val="0"/>
        <w:spacing w:line="600" w:lineRule="exact"/>
        <w:ind w:firstLine="643" w:firstLineChars="200"/>
        <w:textAlignment w:val="auto"/>
        <w:rPr>
          <w:rFonts w:hint="eastAsia" w:ascii="Times New Roman" w:hAnsi="Times New Roman" w:eastAsia="仿宋_GB2312" w:cs="仿宋_GB2312"/>
          <w:color w:val="000000" w:themeColor="text1"/>
          <w:kern w:val="0"/>
          <w:sz w:val="32"/>
          <w:szCs w:val="32"/>
          <w:lang w:val="zh-CN"/>
          <w14:textFill>
            <w14:solidFill>
              <w14:schemeClr w14:val="tx1"/>
            </w14:solidFill>
          </w14:textFill>
        </w:rPr>
      </w:pPr>
      <w:r>
        <w:rPr>
          <w:rFonts w:hint="eastAsia" w:eastAsia="楷体_GB2312" w:cs="楷体_GB2312"/>
          <w:b/>
          <w:color w:val="000000" w:themeColor="text1"/>
          <w:sz w:val="32"/>
          <w:szCs w:val="32"/>
          <w:lang w:val="zh-CN"/>
          <w14:textFill>
            <w14:solidFill>
              <w14:schemeClr w14:val="tx1"/>
            </w14:solidFill>
          </w14:textFill>
        </w:rPr>
        <w:t>（三）项目监管情况。</w:t>
      </w:r>
      <w:r>
        <w:rPr>
          <w:rFonts w:hint="eastAsia" w:ascii="Times New Roman" w:hAnsi="Times New Roman" w:eastAsia="仿宋_GB2312" w:cs="仿宋_GB2312"/>
          <w:color w:val="000000" w:themeColor="text1"/>
          <w:sz w:val="32"/>
          <w:szCs w:val="32"/>
          <w:lang w:val="zh-CN"/>
          <w14:textFill>
            <w14:solidFill>
              <w14:schemeClr w14:val="tx1"/>
            </w14:solidFill>
          </w14:textFill>
        </w:rPr>
        <w:t>项目负责部门加强项目管理，严格遵守政府采购流程开展实验室招标工作，不定期到施工地点查看施工情况及施工安全管理情况，督促施工方做好施工人员的安全管理，加强与监理人员的沟通交流，及时了解施工进度及问题。及时发现施工过程中存在的安全隐患和施工质量瑕疵，及时督促施工单位完成整改。</w:t>
      </w:r>
    </w:p>
    <w:p w14:paraId="175D2BD1">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eastAsia" w:ascii="黑体" w:hAnsi="黑体" w:eastAsia="黑体" w:cs="黑体"/>
          <w:color w:val="000000" w:themeColor="text1"/>
          <w:sz w:val="32"/>
          <w:szCs w:val="32"/>
          <w:lang w:val="zh-CN"/>
          <w14:textFill>
            <w14:solidFill>
              <w14:schemeClr w14:val="tx1"/>
            </w14:solidFill>
          </w14:textFill>
        </w:rPr>
      </w:pPr>
      <w:r>
        <w:rPr>
          <w:rFonts w:hint="eastAsia" w:ascii="黑体" w:hAnsi="黑体" w:eastAsia="黑体" w:cs="黑体"/>
          <w:color w:val="000000" w:themeColor="text1"/>
          <w:sz w:val="32"/>
          <w:szCs w:val="32"/>
          <w14:textFill>
            <w14:solidFill>
              <w14:schemeClr w14:val="tx1"/>
            </w14:solidFill>
          </w14:textFill>
        </w:rPr>
        <w:t>四、项目绩效情况</w:t>
      </w:r>
      <w:r>
        <w:rPr>
          <w:rFonts w:hint="eastAsia" w:ascii="黑体" w:hAnsi="黑体" w:eastAsia="黑体" w:cs="黑体"/>
          <w:color w:val="000000" w:themeColor="text1"/>
          <w:sz w:val="32"/>
          <w:szCs w:val="32"/>
          <w:lang w:val="zh-CN"/>
          <w14:textFill>
            <w14:solidFill>
              <w14:schemeClr w14:val="tx1"/>
            </w14:solidFill>
          </w14:textFill>
        </w:rPr>
        <w:tab/>
      </w:r>
    </w:p>
    <w:p w14:paraId="5AE35E97">
      <w:pPr>
        <w:keepNext w:val="0"/>
        <w:keepLines w:val="0"/>
        <w:pageBreakBefore w:val="0"/>
        <w:widowControl w:val="0"/>
        <w:kinsoku/>
        <w:wordWrap/>
        <w:overflowPunct/>
        <w:topLinePunct w:val="0"/>
        <w:autoSpaceDE/>
        <w:autoSpaceDN/>
        <w:bidi w:val="0"/>
        <w:adjustRightInd w:val="0"/>
        <w:snapToGrid w:val="0"/>
        <w:spacing w:line="600" w:lineRule="exact"/>
        <w:ind w:firstLine="643" w:firstLineChars="200"/>
        <w:textAlignment w:val="auto"/>
        <w:rPr>
          <w:rFonts w:hint="eastAsia" w:eastAsia="楷体_GB2312" w:cs="楷体_GB2312"/>
          <w:b/>
          <w:color w:val="000000" w:themeColor="text1"/>
          <w:sz w:val="32"/>
          <w:szCs w:val="32"/>
          <w:lang w:val="zh-CN"/>
          <w14:textFill>
            <w14:solidFill>
              <w14:schemeClr w14:val="tx1"/>
            </w14:solidFill>
          </w14:textFill>
        </w:rPr>
      </w:pPr>
      <w:r>
        <w:rPr>
          <w:rFonts w:hint="eastAsia" w:eastAsia="楷体_GB2312" w:cs="楷体_GB2312"/>
          <w:b/>
          <w:color w:val="000000" w:themeColor="text1"/>
          <w:sz w:val="32"/>
          <w:szCs w:val="32"/>
          <w:lang w:val="zh-CN"/>
          <w14:textFill>
            <w14:solidFill>
              <w14:schemeClr w14:val="tx1"/>
            </w14:solidFill>
          </w14:textFill>
        </w:rPr>
        <w:t>（一）项目完成情况</w:t>
      </w:r>
    </w:p>
    <w:p w14:paraId="4C8DB3FF">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eastAsia" w:ascii="Times New Roman" w:hAnsi="Times New Roman" w:eastAsia="仿宋_GB2312" w:cs="仿宋_GB2312"/>
          <w:color w:val="000000" w:themeColor="text1"/>
          <w:kern w:val="0"/>
          <w:sz w:val="32"/>
          <w:szCs w:val="32"/>
          <w14:textFill>
            <w14:solidFill>
              <w14:schemeClr w14:val="tx1"/>
            </w14:solidFill>
          </w14:textFill>
        </w:rPr>
      </w:pPr>
      <w:r>
        <w:rPr>
          <w:rFonts w:hint="eastAsia" w:ascii="Times New Roman" w:hAnsi="Times New Roman" w:eastAsia="仿宋_GB2312" w:cs="仿宋_GB2312"/>
          <w:color w:val="000000" w:themeColor="text1"/>
          <w:sz w:val="32"/>
          <w:szCs w:val="32"/>
          <w:lang w:val="zh-CN"/>
          <w14:textFill>
            <w14:solidFill>
              <w14:schemeClr w14:val="tx1"/>
            </w14:solidFill>
          </w14:textFill>
        </w:rPr>
        <w:t>该实验室改造项目已全部完成实施，各项任务指标均达到预期要求。一是改造任务全面完成，实验室已全部完成装修改造及配套设施设备安装调试，顺利通过竣工验收；二是项目质量达标，改造工程符合专业实验室建设标准，配套的废气、废水处理设备、实验室台柜等设施设备运行稳定，能够满足粮食质量检验监测工作的专业需求；三是资金管控有效，项目实施过程中，严格控制招标价格和施工成本，通过规范管理、优化流程，整个项目较预算结余约7万元，实现了资金使用效益最大化；四是进度符合预期，克服春节假期影响，按调整后计划于2025年3月底完成竣工验收，按时交付使用，项目完成度100%。</w:t>
      </w:r>
    </w:p>
    <w:p w14:paraId="2C0733F4">
      <w:pPr>
        <w:keepNext w:val="0"/>
        <w:keepLines w:val="0"/>
        <w:pageBreakBefore w:val="0"/>
        <w:widowControl w:val="0"/>
        <w:kinsoku/>
        <w:wordWrap/>
        <w:overflowPunct/>
        <w:topLinePunct w:val="0"/>
        <w:autoSpaceDE/>
        <w:autoSpaceDN/>
        <w:bidi w:val="0"/>
        <w:adjustRightInd w:val="0"/>
        <w:snapToGrid w:val="0"/>
        <w:spacing w:line="600" w:lineRule="exact"/>
        <w:ind w:firstLine="643" w:firstLineChars="200"/>
        <w:textAlignment w:val="auto"/>
        <w:rPr>
          <w:rFonts w:hint="eastAsia" w:eastAsia="楷体_GB2312" w:cs="楷体_GB2312"/>
          <w:b/>
          <w:color w:val="000000" w:themeColor="text1"/>
          <w:sz w:val="32"/>
          <w:szCs w:val="32"/>
          <w:lang w:val="zh-CN"/>
          <w14:textFill>
            <w14:solidFill>
              <w14:schemeClr w14:val="tx1"/>
            </w14:solidFill>
          </w14:textFill>
        </w:rPr>
      </w:pPr>
      <w:r>
        <w:rPr>
          <w:rFonts w:hint="eastAsia" w:eastAsia="楷体_GB2312" w:cs="楷体_GB2312"/>
          <w:b/>
          <w:color w:val="000000" w:themeColor="text1"/>
          <w:sz w:val="32"/>
          <w:szCs w:val="32"/>
          <w:lang w:val="zh-CN"/>
          <w14:textFill>
            <w14:solidFill>
              <w14:schemeClr w14:val="tx1"/>
            </w14:solidFill>
          </w14:textFill>
        </w:rPr>
        <w:t>（二）项目效益情况</w:t>
      </w:r>
    </w:p>
    <w:p w14:paraId="316FD85C">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eastAsia" w:ascii="Times New Roman" w:hAnsi="Times New Roman" w:eastAsia="仿宋_GB2312" w:cs="仿宋_GB2312"/>
          <w:color w:val="000000" w:themeColor="text1"/>
          <w:kern w:val="0"/>
          <w:sz w:val="32"/>
          <w:szCs w:val="32"/>
          <w14:textFill>
            <w14:solidFill>
              <w14:schemeClr w14:val="tx1"/>
            </w14:solidFill>
          </w14:textFill>
        </w:rPr>
      </w:pPr>
      <w:r>
        <w:rPr>
          <w:rFonts w:hint="eastAsia" w:ascii="Times New Roman" w:hAnsi="Times New Roman" w:eastAsia="仿宋_GB2312" w:cs="仿宋_GB2312"/>
          <w:color w:val="000000" w:themeColor="text1"/>
          <w:sz w:val="32"/>
          <w:szCs w:val="32"/>
          <w14:textFill>
            <w14:solidFill>
              <w14:schemeClr w14:val="tx1"/>
            </w14:solidFill>
          </w14:textFill>
        </w:rPr>
        <w:t>该项目高效有序推进，为攀枝花市粮食质量安全监测能力的显著提升提供了硬件支撑，为完善粮食检验检测体系奠定了坚实基础。后期通过强化质量监管和技术支撑，可切实保障全市粮食安全，筑牢人民群众“舌尖上的安全”防线。</w:t>
      </w:r>
    </w:p>
    <w:p w14:paraId="520FA991">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eastAsia" w:ascii="黑体" w:hAnsi="黑体" w:eastAsia="黑体" w:cs="黑体"/>
          <w:color w:val="000000" w:themeColor="text1"/>
          <w:sz w:val="32"/>
          <w:szCs w:val="32"/>
          <w14:textFill>
            <w14:solidFill>
              <w14:schemeClr w14:val="tx1"/>
            </w14:solidFill>
          </w14:textFill>
        </w:rPr>
      </w:pPr>
      <w:r>
        <w:rPr>
          <w:rFonts w:hint="eastAsia" w:ascii="黑体" w:hAnsi="黑体" w:eastAsia="黑体" w:cs="黑体"/>
          <w:color w:val="000000" w:themeColor="text1"/>
          <w:sz w:val="32"/>
          <w:szCs w:val="32"/>
          <w14:textFill>
            <w14:solidFill>
              <w14:schemeClr w14:val="tx1"/>
            </w14:solidFill>
          </w14:textFill>
        </w:rPr>
        <w:t>五、评价结论及建议</w:t>
      </w:r>
    </w:p>
    <w:p w14:paraId="2866DDBF">
      <w:pPr>
        <w:keepNext w:val="0"/>
        <w:keepLines w:val="0"/>
        <w:pageBreakBefore w:val="0"/>
        <w:widowControl w:val="0"/>
        <w:kinsoku/>
        <w:wordWrap/>
        <w:overflowPunct/>
        <w:topLinePunct w:val="0"/>
        <w:autoSpaceDE/>
        <w:autoSpaceDN/>
        <w:bidi w:val="0"/>
        <w:adjustRightInd w:val="0"/>
        <w:snapToGrid w:val="0"/>
        <w:spacing w:line="600" w:lineRule="exact"/>
        <w:ind w:firstLine="643" w:firstLineChars="200"/>
        <w:textAlignment w:val="auto"/>
        <w:rPr>
          <w:rFonts w:hint="eastAsia" w:eastAsia="楷体_GB2312" w:cs="楷体_GB2312"/>
          <w:b/>
          <w:color w:val="000000" w:themeColor="text1"/>
          <w:sz w:val="32"/>
          <w:szCs w:val="32"/>
          <w:lang w:val="zh-CN"/>
          <w14:textFill>
            <w14:solidFill>
              <w14:schemeClr w14:val="tx1"/>
            </w14:solidFill>
          </w14:textFill>
        </w:rPr>
      </w:pPr>
      <w:r>
        <w:rPr>
          <w:rFonts w:hint="eastAsia" w:eastAsia="楷体_GB2312" w:cs="楷体_GB2312"/>
          <w:b/>
          <w:color w:val="000000" w:themeColor="text1"/>
          <w:sz w:val="32"/>
          <w:szCs w:val="32"/>
          <w:lang w:val="zh-CN"/>
          <w14:textFill>
            <w14:solidFill>
              <w14:schemeClr w14:val="tx1"/>
            </w14:solidFill>
          </w14:textFill>
        </w:rPr>
        <w:t>（一）评价结论</w:t>
      </w:r>
    </w:p>
    <w:p w14:paraId="08228896">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eastAsia" w:ascii="Times New Roman" w:hAnsi="Times New Roman" w:eastAsia="仿宋_GB2312" w:cs="仿宋_GB2312"/>
          <w:color w:val="000000" w:themeColor="text1"/>
          <w:kern w:val="0"/>
          <w:sz w:val="32"/>
          <w:szCs w:val="32"/>
          <w:lang w:val="zh-CN"/>
          <w14:textFill>
            <w14:solidFill>
              <w14:schemeClr w14:val="tx1"/>
            </w14:solidFill>
          </w14:textFill>
        </w:rPr>
      </w:pPr>
      <w:r>
        <w:rPr>
          <w:rFonts w:hint="eastAsia" w:ascii="Times New Roman" w:hAnsi="Times New Roman" w:eastAsia="仿宋_GB2312" w:cs="仿宋_GB2312"/>
          <w:color w:val="000000" w:themeColor="text1"/>
          <w:sz w:val="32"/>
          <w:szCs w:val="32"/>
          <w:lang w:val="zh-CN"/>
          <w14:textFill>
            <w14:solidFill>
              <w14:schemeClr w14:val="tx1"/>
            </w14:solidFill>
          </w14:textFill>
        </w:rPr>
        <w:t>该项目管理合理，管理程序等合法合规，项目自评评分为</w:t>
      </w:r>
      <w:r>
        <w:rPr>
          <w:rFonts w:hint="eastAsia" w:ascii="Times New Roman" w:hAnsi="Times New Roman" w:eastAsia="仿宋_GB2312" w:cs="仿宋_GB2312"/>
          <w:color w:val="000000" w:themeColor="text1"/>
          <w:sz w:val="32"/>
          <w:szCs w:val="32"/>
          <w14:textFill>
            <w14:solidFill>
              <w14:schemeClr w14:val="tx1"/>
            </w14:solidFill>
          </w14:textFill>
        </w:rPr>
        <w:t>92.63分，项目完成度100%，项目经济效益、社会效益、质量、时效等符合预期</w:t>
      </w:r>
      <w:r>
        <w:rPr>
          <w:rFonts w:hint="eastAsia" w:ascii="Times New Roman" w:hAnsi="Times New Roman" w:eastAsia="仿宋_GB2312" w:cs="仿宋_GB2312"/>
          <w:color w:val="000000" w:themeColor="text1"/>
          <w:sz w:val="32"/>
          <w:szCs w:val="32"/>
          <w:lang w:val="zh-CN"/>
          <w14:textFill>
            <w14:solidFill>
              <w14:schemeClr w14:val="tx1"/>
            </w14:solidFill>
          </w14:textFill>
        </w:rPr>
        <w:t>。为攀枝花市粮食质量的安全监测提供了保障，为攀枝花市粮食质量的检验监测水平的提升奠定了基础，为社会的稳定性发展提供了强有力的后盾支撑。</w:t>
      </w:r>
    </w:p>
    <w:p w14:paraId="65A1B77F">
      <w:pPr>
        <w:keepNext w:val="0"/>
        <w:keepLines w:val="0"/>
        <w:pageBreakBefore w:val="0"/>
        <w:widowControl w:val="0"/>
        <w:kinsoku/>
        <w:wordWrap/>
        <w:overflowPunct/>
        <w:topLinePunct w:val="0"/>
        <w:autoSpaceDE/>
        <w:autoSpaceDN/>
        <w:bidi w:val="0"/>
        <w:adjustRightInd w:val="0"/>
        <w:snapToGrid w:val="0"/>
        <w:spacing w:line="600" w:lineRule="exact"/>
        <w:ind w:firstLine="643" w:firstLineChars="200"/>
        <w:textAlignment w:val="auto"/>
        <w:rPr>
          <w:rFonts w:hint="eastAsia" w:eastAsia="楷体_GB2312" w:cs="楷体_GB2312"/>
          <w:b/>
          <w:color w:val="000000" w:themeColor="text1"/>
          <w:sz w:val="32"/>
          <w:szCs w:val="32"/>
          <w:lang w:val="zh-CN"/>
          <w14:textFill>
            <w14:solidFill>
              <w14:schemeClr w14:val="tx1"/>
            </w14:solidFill>
          </w14:textFill>
        </w:rPr>
      </w:pPr>
      <w:r>
        <w:rPr>
          <w:rFonts w:hint="eastAsia" w:eastAsia="楷体_GB2312" w:cs="楷体_GB2312"/>
          <w:b/>
          <w:color w:val="000000" w:themeColor="text1"/>
          <w:sz w:val="32"/>
          <w:szCs w:val="32"/>
          <w:lang w:val="zh-CN"/>
          <w14:textFill>
            <w14:solidFill>
              <w14:schemeClr w14:val="tx1"/>
            </w14:solidFill>
          </w14:textFill>
        </w:rPr>
        <w:t>（二）存在的问题</w:t>
      </w:r>
    </w:p>
    <w:p w14:paraId="59D737A0">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eastAsia" w:ascii="Times New Roman" w:hAnsi="Times New Roman" w:eastAsia="仿宋_GB2312" w:cs="仿宋_GB2312"/>
          <w:color w:val="000000" w:themeColor="text1"/>
          <w:kern w:val="0"/>
          <w:sz w:val="32"/>
          <w:szCs w:val="32"/>
          <w:lang w:val="zh-CN"/>
          <w14:textFill>
            <w14:solidFill>
              <w14:schemeClr w14:val="tx1"/>
            </w14:solidFill>
          </w14:textFill>
        </w:rPr>
      </w:pPr>
      <w:r>
        <w:rPr>
          <w:rFonts w:hint="eastAsia" w:ascii="Times New Roman" w:hAnsi="Times New Roman" w:eastAsia="仿宋_GB2312" w:cs="仿宋_GB2312"/>
          <w:color w:val="000000" w:themeColor="text1"/>
          <w:sz w:val="32"/>
          <w:szCs w:val="32"/>
          <w:lang w:val="zh-CN"/>
          <w14:textFill>
            <w14:solidFill>
              <w14:schemeClr w14:val="tx1"/>
            </w14:solidFill>
          </w14:textFill>
        </w:rPr>
        <w:t>经全面梳理核查，本次实验室改造项目在资金申报、实施、管理、绩效目标完成及资金使用等各个环节，均严格遵循国家相关法律法规和市级财政、项目管理要求，流程规范、管控到位，未发现任何问题。</w:t>
      </w:r>
    </w:p>
    <w:p w14:paraId="511186EF">
      <w:pPr>
        <w:keepNext w:val="0"/>
        <w:keepLines w:val="0"/>
        <w:pageBreakBefore w:val="0"/>
        <w:widowControl w:val="0"/>
        <w:kinsoku/>
        <w:wordWrap/>
        <w:overflowPunct/>
        <w:topLinePunct w:val="0"/>
        <w:autoSpaceDE/>
        <w:autoSpaceDN/>
        <w:bidi w:val="0"/>
        <w:adjustRightInd w:val="0"/>
        <w:snapToGrid w:val="0"/>
        <w:spacing w:line="600" w:lineRule="exact"/>
        <w:ind w:firstLine="643" w:firstLineChars="200"/>
        <w:textAlignment w:val="auto"/>
        <w:rPr>
          <w:rFonts w:hint="eastAsia" w:eastAsia="楷体_GB2312" w:cs="楷体_GB2312"/>
          <w:b/>
          <w:color w:val="000000" w:themeColor="text1"/>
          <w:sz w:val="32"/>
          <w:szCs w:val="32"/>
          <w:lang w:val="zh-CN"/>
          <w14:textFill>
            <w14:solidFill>
              <w14:schemeClr w14:val="tx1"/>
            </w14:solidFill>
          </w14:textFill>
        </w:rPr>
      </w:pPr>
      <w:r>
        <w:rPr>
          <w:rFonts w:hint="eastAsia" w:eastAsia="楷体_GB2312" w:cs="楷体_GB2312"/>
          <w:b/>
          <w:color w:val="000000" w:themeColor="text1"/>
          <w:sz w:val="32"/>
          <w:szCs w:val="32"/>
          <w:lang w:val="zh-CN"/>
          <w14:textFill>
            <w14:solidFill>
              <w14:schemeClr w14:val="tx1"/>
            </w14:solidFill>
          </w14:textFill>
        </w:rPr>
        <w:t>（三）相关建议</w:t>
      </w:r>
    </w:p>
    <w:p w14:paraId="48365095">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eastAsia" w:ascii="Times New Roman" w:hAnsi="Times New Roman" w:eastAsia="仿宋_GB2312" w:cs="仿宋_GB2312"/>
          <w:color w:val="000000" w:themeColor="text1"/>
          <w:sz w:val="32"/>
          <w:szCs w:val="32"/>
          <w:lang w:val="zh-CN"/>
          <w14:textFill>
            <w14:solidFill>
              <w14:schemeClr w14:val="tx1"/>
            </w14:solidFill>
          </w14:textFill>
        </w:rPr>
      </w:pPr>
      <w:r>
        <w:rPr>
          <w:rFonts w:hint="eastAsia" w:ascii="Times New Roman" w:hAnsi="Times New Roman" w:eastAsia="仿宋_GB2312" w:cs="仿宋_GB2312"/>
          <w:color w:val="000000" w:themeColor="text1"/>
          <w:sz w:val="32"/>
          <w:szCs w:val="32"/>
          <w:lang w:val="zh-CN"/>
          <w14:textFill>
            <w14:solidFill>
              <w14:schemeClr w14:val="tx1"/>
            </w14:solidFill>
          </w14:textFill>
        </w:rPr>
        <w:t>结合项目实施成效及实验室长远运行、维护需求，无针对性改进建议。后续，项目实施单位将持续做好实验室改造后续相关工作，严格按照合同约定，待质保期满且无质量问题后，及时支付质保金；加强改造后实验室的日常维护和管理，定期对配套设施设备进行检修、保养，确保实验室长期稳定运行。</w:t>
      </w:r>
    </w:p>
    <w:p w14:paraId="51882DE7">
      <w:pPr>
        <w:keepNext w:val="0"/>
        <w:keepLines w:val="0"/>
        <w:pageBreakBefore w:val="0"/>
        <w:widowControl w:val="0"/>
        <w:kinsoku/>
        <w:wordWrap/>
        <w:overflowPunct/>
        <w:topLinePunct w:val="0"/>
        <w:autoSpaceDE/>
        <w:autoSpaceDN/>
        <w:bidi w:val="0"/>
        <w:spacing w:line="600" w:lineRule="exact"/>
        <w:ind w:firstLine="640" w:firstLineChars="200"/>
        <w:textAlignment w:val="auto"/>
        <w:rPr>
          <w:rFonts w:hint="eastAsia" w:ascii="Times New Roman" w:hAnsi="Times New Roman" w:eastAsia="仿宋_GB2312" w:cs="仿宋_GB2312"/>
          <w:color w:val="000000" w:themeColor="text1"/>
          <w:sz w:val="32"/>
          <w:szCs w:val="32"/>
          <w:lang w:val="zh-CN"/>
          <w14:textFill>
            <w14:solidFill>
              <w14:schemeClr w14:val="tx1"/>
            </w14:solidFill>
          </w14:textFill>
        </w:rPr>
      </w:pPr>
      <w:r>
        <w:rPr>
          <w:rFonts w:hint="eastAsia" w:ascii="Times New Roman" w:hAnsi="Times New Roman" w:eastAsia="仿宋_GB2312" w:cs="仿宋_GB2312"/>
          <w:color w:val="000000" w:themeColor="text1"/>
          <w:sz w:val="32"/>
          <w:szCs w:val="32"/>
          <w:lang w:val="zh-CN"/>
          <w14:textFill>
            <w14:solidFill>
              <w14:schemeClr w14:val="tx1"/>
            </w14:solidFill>
          </w14:textFill>
        </w:rPr>
        <w:br w:type="page"/>
      </w:r>
    </w:p>
    <w:p w14:paraId="1ED1DA90">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eastAsia="方正小标宋简体"/>
          <w:color w:val="000000" w:themeColor="text1"/>
          <w:sz w:val="44"/>
          <w:szCs w:val="44"/>
          <w14:textFill>
            <w14:solidFill>
              <w14:schemeClr w14:val="tx1"/>
            </w14:solidFill>
          </w14:textFill>
        </w:rPr>
      </w:pPr>
      <w:r>
        <w:rPr>
          <w:rFonts w:hint="eastAsia" w:eastAsia="方正小标宋简体"/>
          <w:color w:val="000000" w:themeColor="text1"/>
          <w:sz w:val="44"/>
          <w:szCs w:val="44"/>
          <w14:textFill>
            <w14:solidFill>
              <w14:schemeClr w14:val="tx1"/>
            </w14:solidFill>
          </w14:textFill>
        </w:rPr>
        <w:t>攀枝花市粮食质量检验监测中心实验室设备添置及运行专项预算项目支出绩效自评报告</w:t>
      </w:r>
    </w:p>
    <w:p w14:paraId="43B79312">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eastAsia" w:ascii="Times New Roman" w:hAnsi="Times New Roman" w:eastAsia="仿宋_GB2312" w:cs="仿宋_GB2312"/>
          <w:color w:val="000000" w:themeColor="text1"/>
          <w:sz w:val="32"/>
          <w:szCs w:val="32"/>
          <w14:textFill>
            <w14:solidFill>
              <w14:schemeClr w14:val="tx1"/>
            </w14:solidFill>
          </w14:textFill>
        </w:rPr>
      </w:pPr>
    </w:p>
    <w:p w14:paraId="6EBE4613">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eastAsia" w:ascii="黑体" w:hAnsi="黑体" w:eastAsia="黑体" w:cs="黑体"/>
          <w:color w:val="000000" w:themeColor="text1"/>
          <w:sz w:val="32"/>
          <w:szCs w:val="32"/>
          <w:lang w:val="zh-CN"/>
          <w14:textFill>
            <w14:solidFill>
              <w14:schemeClr w14:val="tx1"/>
            </w14:solidFill>
          </w14:textFill>
        </w:rPr>
      </w:pPr>
      <w:r>
        <w:rPr>
          <w:rFonts w:hint="eastAsia" w:ascii="黑体" w:hAnsi="黑体" w:eastAsia="黑体" w:cs="黑体"/>
          <w:color w:val="000000" w:themeColor="text1"/>
          <w:sz w:val="32"/>
          <w:szCs w:val="32"/>
          <w14:textFill>
            <w14:solidFill>
              <w14:schemeClr w14:val="tx1"/>
            </w14:solidFill>
          </w14:textFill>
        </w:rPr>
        <w:t>一、</w:t>
      </w:r>
      <w:r>
        <w:rPr>
          <w:rFonts w:hint="eastAsia" w:ascii="黑体" w:hAnsi="黑体" w:eastAsia="黑体" w:cs="黑体"/>
          <w:color w:val="000000" w:themeColor="text1"/>
          <w:sz w:val="32"/>
          <w:szCs w:val="32"/>
          <w:lang w:val="zh-CN"/>
          <w14:textFill>
            <w14:solidFill>
              <w14:schemeClr w14:val="tx1"/>
            </w14:solidFill>
          </w14:textFill>
        </w:rPr>
        <w:t>项目概况</w:t>
      </w:r>
    </w:p>
    <w:p w14:paraId="018E517C">
      <w:pPr>
        <w:keepNext w:val="0"/>
        <w:keepLines w:val="0"/>
        <w:pageBreakBefore w:val="0"/>
        <w:widowControl w:val="0"/>
        <w:kinsoku/>
        <w:wordWrap/>
        <w:overflowPunct/>
        <w:topLinePunct w:val="0"/>
        <w:autoSpaceDE/>
        <w:autoSpaceDN/>
        <w:bidi w:val="0"/>
        <w:adjustRightInd w:val="0"/>
        <w:snapToGrid w:val="0"/>
        <w:spacing w:line="600" w:lineRule="exact"/>
        <w:ind w:firstLine="643" w:firstLineChars="200"/>
        <w:textAlignment w:val="auto"/>
        <w:rPr>
          <w:rFonts w:hint="eastAsia" w:eastAsia="楷体_GB2312" w:cs="楷体_GB2312"/>
          <w:b/>
          <w:color w:val="000000" w:themeColor="text1"/>
          <w:sz w:val="32"/>
          <w:szCs w:val="32"/>
          <w:lang w:val="zh-CN"/>
          <w14:textFill>
            <w14:solidFill>
              <w14:schemeClr w14:val="tx1"/>
            </w14:solidFill>
          </w14:textFill>
        </w:rPr>
      </w:pPr>
      <w:r>
        <w:rPr>
          <w:rFonts w:hint="eastAsia" w:eastAsia="楷体_GB2312" w:cs="楷体_GB2312"/>
          <w:b/>
          <w:color w:val="000000" w:themeColor="text1"/>
          <w:sz w:val="32"/>
          <w:szCs w:val="32"/>
          <w:lang w:val="zh-CN"/>
          <w14:textFill>
            <w14:solidFill>
              <w14:schemeClr w14:val="tx1"/>
            </w14:solidFill>
          </w14:textFill>
        </w:rPr>
        <w:t>（一）项目基本情况</w:t>
      </w:r>
    </w:p>
    <w:p w14:paraId="4928819A">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eastAsia" w:ascii="Times New Roman" w:hAnsi="Times New Roman" w:eastAsia="仿宋_GB2312" w:cs="仿宋_GB2312"/>
          <w:color w:val="000000" w:themeColor="text1"/>
          <w:kern w:val="0"/>
          <w:sz w:val="32"/>
          <w:szCs w:val="32"/>
          <w:lang w:val="zh-CN"/>
          <w14:textFill>
            <w14:solidFill>
              <w14:schemeClr w14:val="tx1"/>
            </w14:solidFill>
          </w14:textFill>
        </w:rPr>
      </w:pPr>
      <w:r>
        <w:rPr>
          <w:rFonts w:hint="eastAsia" w:ascii="Times New Roman" w:hAnsi="Times New Roman" w:eastAsia="仿宋_GB2312" w:cs="仿宋_GB2312"/>
          <w:bCs/>
          <w:color w:val="000000" w:themeColor="text1"/>
          <w:sz w:val="32"/>
          <w:szCs w:val="32"/>
          <w:lang w:val="zh-CN"/>
          <w14:textFill>
            <w14:solidFill>
              <w14:schemeClr w14:val="tx1"/>
            </w14:solidFill>
          </w14:textFill>
        </w:rPr>
        <w:t>1</w:t>
      </w:r>
      <w:r>
        <w:rPr>
          <w:rFonts w:hint="eastAsia" w:ascii="Times New Roman" w:hAnsi="Times New Roman" w:eastAsia="仿宋_GB2312" w:cs="仿宋_GB2312"/>
          <w:bCs/>
          <w:color w:val="000000" w:themeColor="text1"/>
          <w:sz w:val="32"/>
          <w:szCs w:val="32"/>
          <w14:textFill>
            <w14:solidFill>
              <w14:schemeClr w14:val="tx1"/>
            </w14:solidFill>
          </w14:textFill>
        </w:rPr>
        <w:t>.</w:t>
      </w:r>
      <w:r>
        <w:rPr>
          <w:rFonts w:hint="eastAsia" w:ascii="Times New Roman" w:hAnsi="Times New Roman" w:eastAsia="仿宋_GB2312" w:cs="仿宋_GB2312"/>
          <w:bCs/>
          <w:color w:val="000000" w:themeColor="text1"/>
          <w:sz w:val="32"/>
          <w:szCs w:val="32"/>
          <w:lang w:val="zh-CN"/>
          <w14:textFill>
            <w14:solidFill>
              <w14:schemeClr w14:val="tx1"/>
            </w14:solidFill>
          </w14:textFill>
        </w:rPr>
        <w:t>项目主管部门（单位）在该项目管理中的职能。</w:t>
      </w:r>
      <w:r>
        <w:rPr>
          <w:rFonts w:hint="eastAsia" w:ascii="Times New Roman" w:hAnsi="Times New Roman" w:eastAsia="仿宋_GB2312" w:cs="仿宋_GB2312"/>
          <w:color w:val="000000" w:themeColor="text1"/>
          <w:sz w:val="32"/>
          <w:szCs w:val="32"/>
          <w:lang w:val="zh-CN"/>
          <w14:textFill>
            <w14:solidFill>
              <w14:schemeClr w14:val="tx1"/>
            </w14:solidFill>
          </w14:textFill>
        </w:rPr>
        <w:t>本项目由市发展改革委下属事业单位市重要和应急物资储备中心（攀枝花市军粮供应站、攀枝花市粮食质量检验监测中心）负责，受委托开展粮油产品质量检验监测工作，并负责实验室的建设和运行工作。</w:t>
      </w:r>
    </w:p>
    <w:p w14:paraId="278B889A">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eastAsia" w:ascii="Times New Roman" w:hAnsi="Times New Roman" w:eastAsia="仿宋_GB2312" w:cs="仿宋_GB2312"/>
          <w:color w:val="000000" w:themeColor="text1"/>
          <w:kern w:val="0"/>
          <w:sz w:val="32"/>
          <w:szCs w:val="32"/>
          <w14:textFill>
            <w14:solidFill>
              <w14:schemeClr w14:val="tx1"/>
            </w14:solidFill>
          </w14:textFill>
        </w:rPr>
      </w:pPr>
      <w:r>
        <w:rPr>
          <w:rFonts w:hint="eastAsia" w:ascii="Times New Roman" w:hAnsi="Times New Roman" w:eastAsia="仿宋_GB2312" w:cs="仿宋_GB2312"/>
          <w:bCs/>
          <w:color w:val="000000" w:themeColor="text1"/>
          <w:sz w:val="32"/>
          <w:szCs w:val="32"/>
          <w:lang w:val="zh-CN"/>
          <w14:textFill>
            <w14:solidFill>
              <w14:schemeClr w14:val="tx1"/>
            </w14:solidFill>
          </w14:textFill>
        </w:rPr>
        <w:t>2.项目立项、资金申报的依据。</w:t>
      </w:r>
      <w:r>
        <w:rPr>
          <w:rFonts w:hint="eastAsia" w:ascii="Times New Roman" w:hAnsi="Times New Roman" w:eastAsia="仿宋_GB2312" w:cs="仿宋_GB2312"/>
          <w:color w:val="000000" w:themeColor="text1"/>
          <w:sz w:val="32"/>
          <w:szCs w:val="32"/>
          <w14:textFill>
            <w14:solidFill>
              <w14:schemeClr w14:val="tx1"/>
            </w14:solidFill>
          </w14:textFill>
        </w:rPr>
        <w:t>经市政府批示同意，开展实验室建设工作。市财政于2024年2月和8月分别下发《关于下达攀枝花市粮食质量检验监测中心实验室改造项目资金预算的通知》（攀财投〔2024〕15号）和《关于下达市粮食质量检验监测中心建设及运行预算的通知》（攀财投〔2024〕68号），累计下达预算共计159.98万元</w:t>
      </w:r>
      <w:r>
        <w:rPr>
          <w:rFonts w:hint="eastAsia" w:ascii="Times New Roman" w:hAnsi="Times New Roman" w:eastAsia="仿宋_GB2312" w:cs="仿宋_GB2312"/>
          <w:color w:val="000000" w:themeColor="text1"/>
          <w:sz w:val="32"/>
          <w:szCs w:val="32"/>
          <w:lang w:val="en"/>
          <w14:textFill>
            <w14:solidFill>
              <w14:schemeClr w14:val="tx1"/>
            </w14:solidFill>
          </w14:textFill>
        </w:rPr>
        <w:t>，专项用于实验室设备添置及运行，实验室设备采购预算</w:t>
      </w:r>
      <w:r>
        <w:rPr>
          <w:rFonts w:hint="eastAsia" w:ascii="Times New Roman" w:hAnsi="Times New Roman" w:eastAsia="仿宋_GB2312" w:cs="仿宋_GB2312"/>
          <w:color w:val="000000" w:themeColor="text1"/>
          <w:sz w:val="32"/>
          <w:szCs w:val="32"/>
          <w14:textFill>
            <w14:solidFill>
              <w14:schemeClr w14:val="tx1"/>
            </w14:solidFill>
          </w14:textFill>
        </w:rPr>
        <w:t>139.98万元，实验室运行经费20万元。2024年支付采购实验室耗材经费16.19万元，2025年结转经费133.19万元。</w:t>
      </w:r>
    </w:p>
    <w:p w14:paraId="0B562764">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eastAsia" w:ascii="Times New Roman" w:hAnsi="Times New Roman" w:eastAsia="仿宋_GB2312" w:cs="仿宋_GB2312"/>
          <w:color w:val="000000" w:themeColor="text1"/>
          <w:kern w:val="0"/>
          <w:sz w:val="32"/>
          <w:szCs w:val="32"/>
          <w:lang w:val="zh-CN"/>
          <w14:textFill>
            <w14:solidFill>
              <w14:schemeClr w14:val="tx1"/>
            </w14:solidFill>
          </w14:textFill>
        </w:rPr>
      </w:pPr>
      <w:r>
        <w:rPr>
          <w:rFonts w:hint="eastAsia" w:ascii="Times New Roman" w:hAnsi="Times New Roman" w:eastAsia="仿宋_GB2312" w:cs="仿宋_GB2312"/>
          <w:bCs/>
          <w:color w:val="000000" w:themeColor="text1"/>
          <w:sz w:val="32"/>
          <w:szCs w:val="32"/>
          <w:lang w:val="zh-CN"/>
          <w14:textFill>
            <w14:solidFill>
              <w14:schemeClr w14:val="tx1"/>
            </w14:solidFill>
          </w14:textFill>
        </w:rPr>
        <w:t>3</w:t>
      </w:r>
      <w:r>
        <w:rPr>
          <w:rFonts w:hint="eastAsia" w:ascii="Times New Roman" w:hAnsi="Times New Roman" w:eastAsia="仿宋_GB2312" w:cs="仿宋_GB2312"/>
          <w:bCs/>
          <w:color w:val="000000" w:themeColor="text1"/>
          <w:sz w:val="32"/>
          <w:szCs w:val="32"/>
          <w14:textFill>
            <w14:solidFill>
              <w14:schemeClr w14:val="tx1"/>
            </w14:solidFill>
          </w14:textFill>
        </w:rPr>
        <w:t>.</w:t>
      </w:r>
      <w:r>
        <w:rPr>
          <w:rFonts w:hint="eastAsia" w:ascii="Times New Roman" w:hAnsi="Times New Roman" w:eastAsia="仿宋_GB2312" w:cs="仿宋_GB2312"/>
          <w:bCs/>
          <w:color w:val="000000" w:themeColor="text1"/>
          <w:sz w:val="32"/>
          <w:szCs w:val="32"/>
          <w:lang w:val="zh-CN"/>
          <w14:textFill>
            <w14:solidFill>
              <w14:schemeClr w14:val="tx1"/>
            </w14:solidFill>
          </w14:textFill>
        </w:rPr>
        <w:t>资金管理办法制定情况，资金支持具体项目的条件、范围与支持方式概况。</w:t>
      </w:r>
      <w:r>
        <w:rPr>
          <w:rFonts w:hint="eastAsia" w:ascii="Times New Roman" w:hAnsi="Times New Roman" w:eastAsia="仿宋_GB2312" w:cs="仿宋_GB2312"/>
          <w:color w:val="000000" w:themeColor="text1"/>
          <w:sz w:val="32"/>
          <w:szCs w:val="32"/>
          <w:lang w:val="zh-CN"/>
          <w14:textFill>
            <w14:solidFill>
              <w14:schemeClr w14:val="tx1"/>
            </w14:solidFill>
          </w14:textFill>
        </w:rPr>
        <w:t>依据《</w:t>
      </w:r>
      <w:r>
        <w:rPr>
          <w:rFonts w:hint="eastAsia" w:ascii="Times New Roman" w:hAnsi="Times New Roman" w:eastAsia="仿宋_GB2312" w:cs="仿宋_GB2312"/>
          <w:color w:val="000000" w:themeColor="text1"/>
          <w:sz w:val="32"/>
          <w:szCs w:val="32"/>
          <w14:textFill>
            <w14:solidFill>
              <w14:schemeClr w14:val="tx1"/>
            </w14:solidFill>
          </w14:textFill>
        </w:rPr>
        <w:t>攀枝花市本级政府投资管理</w:t>
      </w:r>
      <w:r>
        <w:rPr>
          <w:rFonts w:hint="eastAsia" w:ascii="Times New Roman" w:hAnsi="Times New Roman" w:eastAsia="仿宋_GB2312" w:cs="仿宋_GB2312"/>
          <w:color w:val="000000" w:themeColor="text1"/>
          <w:sz w:val="32"/>
          <w:szCs w:val="32"/>
          <w:lang w:val="zh-CN"/>
          <w14:textFill>
            <w14:solidFill>
              <w14:schemeClr w14:val="tx1"/>
            </w14:solidFill>
          </w14:textFill>
        </w:rPr>
        <w:t>实施细则》</w:t>
      </w:r>
      <w:r>
        <w:rPr>
          <w:rFonts w:hint="eastAsia" w:ascii="Times New Roman" w:hAnsi="Times New Roman" w:eastAsia="仿宋_GB2312" w:cs="仿宋_GB2312"/>
          <w:color w:val="000000" w:themeColor="text1"/>
          <w:sz w:val="32"/>
          <w:szCs w:val="32"/>
          <w14:textFill>
            <w14:solidFill>
              <w14:schemeClr w14:val="tx1"/>
            </w14:solidFill>
          </w14:textFill>
        </w:rPr>
        <w:t>（攀府规〔2023〕2号）</w:t>
      </w:r>
      <w:r>
        <w:rPr>
          <w:rFonts w:hint="eastAsia" w:ascii="Times New Roman" w:hAnsi="Times New Roman" w:eastAsia="仿宋_GB2312" w:cs="仿宋_GB2312"/>
          <w:color w:val="000000" w:themeColor="text1"/>
          <w:sz w:val="32"/>
          <w:szCs w:val="32"/>
          <w:lang w:val="zh-CN"/>
          <w14:textFill>
            <w14:solidFill>
              <w14:schemeClr w14:val="tx1"/>
            </w14:solidFill>
          </w14:textFill>
        </w:rPr>
        <w:t>等文件要求管理资金。为保障攀枝花市粮食质量安全，根据省上对粮食质量安全保障能力建设的要求，通过市级财政支持，按照专款专用方式用于实验室仪器设备采购和实验耗材采购。</w:t>
      </w:r>
    </w:p>
    <w:p w14:paraId="28259FAC">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eastAsia" w:ascii="Times New Roman" w:hAnsi="Times New Roman" w:eastAsia="仿宋_GB2312" w:cs="仿宋_GB2312"/>
          <w:color w:val="000000" w:themeColor="text1"/>
          <w:kern w:val="0"/>
          <w:sz w:val="32"/>
          <w:szCs w:val="32"/>
          <w:lang w:val="zh-CN"/>
          <w14:textFill>
            <w14:solidFill>
              <w14:schemeClr w14:val="tx1"/>
            </w14:solidFill>
          </w14:textFill>
        </w:rPr>
      </w:pPr>
      <w:r>
        <w:rPr>
          <w:rFonts w:hint="eastAsia" w:ascii="Times New Roman" w:hAnsi="Times New Roman" w:eastAsia="仿宋_GB2312" w:cs="仿宋_GB2312"/>
          <w:bCs/>
          <w:color w:val="000000" w:themeColor="text1"/>
          <w:sz w:val="32"/>
          <w:szCs w:val="32"/>
          <w14:textFill>
            <w14:solidFill>
              <w14:schemeClr w14:val="tx1"/>
            </w14:solidFill>
          </w14:textFill>
        </w:rPr>
        <w:t>4.</w:t>
      </w:r>
      <w:r>
        <w:rPr>
          <w:rFonts w:hint="eastAsia" w:ascii="Times New Roman" w:hAnsi="Times New Roman" w:eastAsia="仿宋_GB2312" w:cs="仿宋_GB2312"/>
          <w:bCs/>
          <w:color w:val="000000" w:themeColor="text1"/>
          <w:sz w:val="32"/>
          <w:szCs w:val="32"/>
          <w:lang w:val="zh-CN"/>
          <w14:textFill>
            <w14:solidFill>
              <w14:schemeClr w14:val="tx1"/>
            </w14:solidFill>
          </w14:textFill>
        </w:rPr>
        <w:t>资金分配的原则及考虑因素。</w:t>
      </w:r>
      <w:r>
        <w:rPr>
          <w:rFonts w:hint="eastAsia" w:ascii="Times New Roman" w:hAnsi="Times New Roman" w:eastAsia="仿宋_GB2312" w:cs="仿宋_GB2312"/>
          <w:color w:val="000000" w:themeColor="text1"/>
          <w:sz w:val="32"/>
          <w:szCs w:val="32"/>
          <w:lang w:val="zh-CN"/>
          <w14:textFill>
            <w14:solidFill>
              <w14:schemeClr w14:val="tx1"/>
            </w14:solidFill>
          </w14:textFill>
        </w:rPr>
        <w:t>仪器设备采购方面，严格按照政府采购相关法律法规，采用公开招标方式确定供应商，合同签订完成后5个工作日内，供应商缴纳中标金额3%的质保金，保障设备质量及售后服务。资金支付按照合同约定比例分期拨付，待仪器设备全部到货、安装调试完毕并验收合格，且质保期满1年无任何质量问题后，一次性退还质保金。实验耗材采购方面，同样采用公开招标方式确定供应单位，根据耗材采购合同约定及供应进度，及时足额支付采购款项。</w:t>
      </w:r>
    </w:p>
    <w:p w14:paraId="33AC5764">
      <w:pPr>
        <w:keepNext w:val="0"/>
        <w:keepLines w:val="0"/>
        <w:pageBreakBefore w:val="0"/>
        <w:widowControl w:val="0"/>
        <w:kinsoku/>
        <w:wordWrap/>
        <w:overflowPunct/>
        <w:topLinePunct w:val="0"/>
        <w:autoSpaceDE/>
        <w:autoSpaceDN/>
        <w:bidi w:val="0"/>
        <w:adjustRightInd w:val="0"/>
        <w:snapToGrid w:val="0"/>
        <w:spacing w:line="600" w:lineRule="exact"/>
        <w:ind w:firstLine="643" w:firstLineChars="200"/>
        <w:textAlignment w:val="auto"/>
        <w:rPr>
          <w:rFonts w:hint="eastAsia" w:eastAsia="楷体_GB2312" w:cs="楷体_GB2312"/>
          <w:b/>
          <w:color w:val="000000" w:themeColor="text1"/>
          <w:sz w:val="32"/>
          <w:szCs w:val="32"/>
          <w:lang w:val="zh-CN"/>
          <w14:textFill>
            <w14:solidFill>
              <w14:schemeClr w14:val="tx1"/>
            </w14:solidFill>
          </w14:textFill>
        </w:rPr>
      </w:pPr>
      <w:r>
        <w:rPr>
          <w:rFonts w:hint="eastAsia" w:eastAsia="楷体_GB2312" w:cs="楷体_GB2312"/>
          <w:b/>
          <w:color w:val="000000" w:themeColor="text1"/>
          <w:sz w:val="32"/>
          <w:szCs w:val="32"/>
          <w:lang w:val="zh-CN"/>
          <w14:textFill>
            <w14:solidFill>
              <w14:schemeClr w14:val="tx1"/>
            </w14:solidFill>
          </w14:textFill>
        </w:rPr>
        <w:t>（二）项目绩效目标</w:t>
      </w:r>
    </w:p>
    <w:p w14:paraId="6E1977DB">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eastAsia" w:ascii="Times New Roman" w:hAnsi="Times New Roman" w:eastAsia="仿宋_GB2312" w:cs="仿宋_GB2312"/>
          <w:color w:val="000000" w:themeColor="text1"/>
          <w:kern w:val="0"/>
          <w:sz w:val="32"/>
          <w:szCs w:val="32"/>
          <w:lang w:val="zh-CN"/>
          <w14:textFill>
            <w14:solidFill>
              <w14:schemeClr w14:val="tx1"/>
            </w14:solidFill>
          </w14:textFill>
        </w:rPr>
      </w:pPr>
      <w:r>
        <w:rPr>
          <w:rFonts w:hint="eastAsia" w:ascii="Times New Roman" w:hAnsi="Times New Roman" w:eastAsia="仿宋_GB2312" w:cs="仿宋_GB2312"/>
          <w:bCs/>
          <w:color w:val="000000" w:themeColor="text1"/>
          <w:sz w:val="32"/>
          <w:szCs w:val="32"/>
          <w:lang w:val="zh-CN"/>
          <w14:textFill>
            <w14:solidFill>
              <w14:schemeClr w14:val="tx1"/>
            </w14:solidFill>
          </w14:textFill>
        </w:rPr>
        <w:t>1.项目主要内容。</w:t>
      </w:r>
      <w:r>
        <w:rPr>
          <w:rFonts w:hint="eastAsia" w:ascii="Times New Roman" w:hAnsi="Times New Roman" w:eastAsia="仿宋_GB2312" w:cs="仿宋_GB2312"/>
          <w:color w:val="000000" w:themeColor="text1"/>
          <w:sz w:val="32"/>
          <w:szCs w:val="32"/>
          <w14:textFill>
            <w14:solidFill>
              <w14:schemeClr w14:val="tx1"/>
            </w14:solidFill>
          </w14:textFill>
        </w:rPr>
        <w:t>为保障攀枝花市粮食质量检验监测中心实验室的基本运行。本着“节约资金、功能够用”的原则，对满足实验室基本运行的实验仪器、设备和耗材采购，并完成相应仪器设备的安装、调试。</w:t>
      </w:r>
    </w:p>
    <w:p w14:paraId="770B5AF6">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eastAsia" w:ascii="Times New Roman" w:hAnsi="Times New Roman" w:eastAsia="仿宋_GB2312" w:cs="仿宋_GB2312"/>
          <w:color w:val="000000" w:themeColor="text1"/>
          <w:kern w:val="0"/>
          <w:sz w:val="32"/>
          <w:szCs w:val="32"/>
          <w14:textFill>
            <w14:solidFill>
              <w14:schemeClr w14:val="tx1"/>
            </w14:solidFill>
          </w14:textFill>
        </w:rPr>
      </w:pPr>
      <w:r>
        <w:rPr>
          <w:rFonts w:hint="eastAsia" w:ascii="Times New Roman" w:hAnsi="Times New Roman" w:eastAsia="仿宋_GB2312" w:cs="仿宋_GB2312"/>
          <w:bCs/>
          <w:color w:val="000000" w:themeColor="text1"/>
          <w:sz w:val="32"/>
          <w:szCs w:val="32"/>
          <w:lang w:val="zh-CN"/>
          <w14:textFill>
            <w14:solidFill>
              <w14:schemeClr w14:val="tx1"/>
            </w14:solidFill>
          </w14:textFill>
        </w:rPr>
        <w:t>2.项目应实现的具体绩效目标，包括目标的量化、细化情况以及项目实施进度计划等。</w:t>
      </w:r>
      <w:r>
        <w:rPr>
          <w:rFonts w:hint="eastAsia" w:ascii="Times New Roman" w:hAnsi="Times New Roman" w:eastAsia="仿宋_GB2312" w:cs="仿宋_GB2312"/>
          <w:color w:val="000000" w:themeColor="text1"/>
          <w:sz w:val="32"/>
          <w:szCs w:val="32"/>
          <w14:textFill>
            <w14:solidFill>
              <w14:schemeClr w14:val="tx1"/>
            </w14:solidFill>
          </w14:textFill>
        </w:rPr>
        <w:t>一是时效目标，2024年10月启动实验室实验耗材采购相关工作，11月启动实验室仪器设备添置招标工作；根据实验室整体改造进度，2024年12月启动实验耗材供货工作，2025年3月启动实验仪器设备供货工作，2025年7月底完成所有实验耗材供货、仪器设备安装调试及验收工作，确保项目按时竣工、投入使用。二是质量目标，仪器设备及实验耗材采购验收合格率100%，仪器设备安装调试后可稳定运行，满足实验室检验监测工作技术要求；耗材质量符合相关行业标准，能够保障检验结果准确可靠。三是资金目标，严格控制资金使用，确保资金专款专用，使用率100%，力争实现资金节约。</w:t>
      </w:r>
    </w:p>
    <w:p w14:paraId="1724C05E">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eastAsia" w:ascii="Times New Roman" w:hAnsi="Times New Roman" w:eastAsia="仿宋_GB2312" w:cs="仿宋_GB2312"/>
          <w:color w:val="000000" w:themeColor="text1"/>
          <w:kern w:val="0"/>
          <w:sz w:val="32"/>
          <w:szCs w:val="32"/>
          <w:lang w:val="zh-CN"/>
          <w14:textFill>
            <w14:solidFill>
              <w14:schemeClr w14:val="tx1"/>
            </w14:solidFill>
          </w14:textFill>
        </w:rPr>
      </w:pPr>
      <w:r>
        <w:rPr>
          <w:rFonts w:hint="eastAsia" w:ascii="Times New Roman" w:hAnsi="Times New Roman" w:eastAsia="仿宋_GB2312" w:cs="仿宋_GB2312"/>
          <w:bCs/>
          <w:color w:val="000000" w:themeColor="text1"/>
          <w:sz w:val="32"/>
          <w:szCs w:val="32"/>
          <w:lang w:val="zh-CN"/>
          <w14:textFill>
            <w14:solidFill>
              <w14:schemeClr w14:val="tx1"/>
            </w14:solidFill>
          </w14:textFill>
        </w:rPr>
        <w:t>3.</w:t>
      </w:r>
      <w:r>
        <w:rPr>
          <w:rFonts w:hint="eastAsia" w:ascii="Times New Roman" w:hAnsi="Times New Roman" w:eastAsia="仿宋_GB2312" w:cs="仿宋_GB2312"/>
          <w:color w:val="000000" w:themeColor="text1"/>
          <w:sz w:val="32"/>
          <w:szCs w:val="32"/>
          <w:lang w:val="zh-CN"/>
          <w14:textFill>
            <w14:solidFill>
              <w14:schemeClr w14:val="tx1"/>
            </w14:solidFill>
          </w14:textFill>
        </w:rPr>
        <w:t>申报内容与实验室运行实际需求相符，目标设定符合行业技术发展趋势，资金预算合理，能够有效指导项目有序推进，确保项目实施成效。</w:t>
      </w:r>
    </w:p>
    <w:p w14:paraId="6EB6762F">
      <w:pPr>
        <w:keepNext w:val="0"/>
        <w:keepLines w:val="0"/>
        <w:pageBreakBefore w:val="0"/>
        <w:widowControl w:val="0"/>
        <w:kinsoku/>
        <w:wordWrap/>
        <w:overflowPunct/>
        <w:topLinePunct w:val="0"/>
        <w:autoSpaceDE/>
        <w:autoSpaceDN/>
        <w:bidi w:val="0"/>
        <w:adjustRightInd w:val="0"/>
        <w:snapToGrid w:val="0"/>
        <w:spacing w:line="600" w:lineRule="exact"/>
        <w:ind w:firstLine="643" w:firstLineChars="200"/>
        <w:textAlignment w:val="auto"/>
        <w:rPr>
          <w:rFonts w:hint="eastAsia" w:eastAsia="楷体_GB2312" w:cs="楷体_GB2312"/>
          <w:b/>
          <w:color w:val="000000" w:themeColor="text1"/>
          <w:sz w:val="32"/>
          <w:szCs w:val="32"/>
          <w:lang w:val="zh-CN"/>
          <w14:textFill>
            <w14:solidFill>
              <w14:schemeClr w14:val="tx1"/>
            </w14:solidFill>
          </w14:textFill>
        </w:rPr>
      </w:pPr>
      <w:r>
        <w:rPr>
          <w:rFonts w:hint="eastAsia" w:eastAsia="楷体_GB2312" w:cs="楷体_GB2312"/>
          <w:b/>
          <w:color w:val="000000" w:themeColor="text1"/>
          <w:sz w:val="32"/>
          <w:szCs w:val="32"/>
          <w:lang w:val="zh-CN"/>
          <w14:textFill>
            <w14:solidFill>
              <w14:schemeClr w14:val="tx1"/>
            </w14:solidFill>
          </w14:textFill>
        </w:rPr>
        <w:t>（三）项目自评步骤及方法</w:t>
      </w:r>
    </w:p>
    <w:p w14:paraId="11A93C25">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eastAsia" w:ascii="Times New Roman" w:hAnsi="Times New Roman" w:eastAsia="仿宋_GB2312" w:cs="仿宋_GB2312"/>
          <w:color w:val="000000" w:themeColor="text1"/>
          <w:kern w:val="0"/>
          <w:sz w:val="32"/>
          <w:szCs w:val="32"/>
          <w:lang w:val="zh-CN"/>
          <w14:textFill>
            <w14:solidFill>
              <w14:schemeClr w14:val="tx1"/>
            </w14:solidFill>
          </w14:textFill>
        </w:rPr>
      </w:pPr>
      <w:r>
        <w:rPr>
          <w:rFonts w:hint="eastAsia" w:ascii="Times New Roman" w:hAnsi="Times New Roman" w:eastAsia="仿宋_GB2312" w:cs="仿宋_GB2312"/>
          <w:color w:val="000000" w:themeColor="text1"/>
          <w:sz w:val="32"/>
          <w:szCs w:val="32"/>
          <w:lang w:val="zh-CN"/>
          <w14:textFill>
            <w14:solidFill>
              <w14:schemeClr w14:val="tx1"/>
            </w14:solidFill>
          </w14:textFill>
        </w:rPr>
        <w:t>项目绩效自评采用的组织实施步骤及方法。为确保项目绩效自评工作客观、公正、全面，真实反映项目实施成效和资金使用情况，本次自评采用定量分析与定性分析相结合的方法，严格按照以下步骤组织实施：一是全面梳理项目基本情况，详细核查项目立项、资金申报、资金使用、项目实施等相关资料，对照项目绩效目标，逐项分析目标完成情况；二是严格按照财政部门要求，收集整理项目相关佐证材料，规范填写部门预算项目支出绩效自评表，确保数据真实、准确、完整；三是对照专项预算项目绩效评价指标体系，结合项目实施实际，逐项打分，形成评分表，客观反映项目评价结果；四是在前期梳理、核查、评分的基础上，组织专人编写项目绩效自评报告，总结项目实施成效、存在问题，提出针对性改进建议，确保报告内容全面、结论客观。</w:t>
      </w:r>
    </w:p>
    <w:p w14:paraId="3BE0D8CD">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eastAsia" w:ascii="黑体" w:hAnsi="黑体" w:eastAsia="黑体" w:cs="黑体"/>
          <w:color w:val="000000" w:themeColor="text1"/>
          <w:sz w:val="32"/>
          <w:szCs w:val="32"/>
          <w14:textFill>
            <w14:solidFill>
              <w14:schemeClr w14:val="tx1"/>
            </w14:solidFill>
          </w14:textFill>
        </w:rPr>
      </w:pPr>
      <w:r>
        <w:rPr>
          <w:rFonts w:hint="eastAsia" w:ascii="黑体" w:hAnsi="黑体" w:eastAsia="黑体" w:cs="黑体"/>
          <w:color w:val="000000" w:themeColor="text1"/>
          <w:sz w:val="32"/>
          <w:szCs w:val="32"/>
          <w14:textFill>
            <w14:solidFill>
              <w14:schemeClr w14:val="tx1"/>
            </w14:solidFill>
          </w14:textFill>
        </w:rPr>
        <w:t>二、项目资金申报及使用情况</w:t>
      </w:r>
    </w:p>
    <w:p w14:paraId="26E1872B">
      <w:pPr>
        <w:keepNext w:val="0"/>
        <w:keepLines w:val="0"/>
        <w:pageBreakBefore w:val="0"/>
        <w:widowControl w:val="0"/>
        <w:kinsoku/>
        <w:wordWrap/>
        <w:overflowPunct/>
        <w:topLinePunct w:val="0"/>
        <w:autoSpaceDE/>
        <w:autoSpaceDN/>
        <w:bidi w:val="0"/>
        <w:adjustRightInd w:val="0"/>
        <w:snapToGrid w:val="0"/>
        <w:spacing w:line="600" w:lineRule="exact"/>
        <w:ind w:firstLine="643" w:firstLineChars="200"/>
        <w:textAlignment w:val="auto"/>
        <w:rPr>
          <w:rFonts w:hint="eastAsia" w:eastAsia="楷体_GB2312" w:cs="楷体_GB2312"/>
          <w:b/>
          <w:color w:val="000000" w:themeColor="text1"/>
          <w:sz w:val="32"/>
          <w:szCs w:val="32"/>
          <w:lang w:val="zh-CN"/>
          <w14:textFill>
            <w14:solidFill>
              <w14:schemeClr w14:val="tx1"/>
            </w14:solidFill>
          </w14:textFill>
        </w:rPr>
      </w:pPr>
      <w:r>
        <w:rPr>
          <w:rFonts w:hint="eastAsia" w:eastAsia="楷体_GB2312" w:cs="楷体_GB2312"/>
          <w:b/>
          <w:color w:val="000000" w:themeColor="text1"/>
          <w:sz w:val="32"/>
          <w:szCs w:val="32"/>
          <w:lang w:val="zh-CN"/>
          <w14:textFill>
            <w14:solidFill>
              <w14:schemeClr w14:val="tx1"/>
            </w14:solidFill>
          </w14:textFill>
        </w:rPr>
        <w:t>（一）项目资金申报及批复情况</w:t>
      </w:r>
    </w:p>
    <w:p w14:paraId="7AB86490">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eastAsia" w:ascii="Times New Roman" w:hAnsi="Times New Roman" w:eastAsia="仿宋_GB2312" w:cs="仿宋_GB2312"/>
          <w:color w:val="000000" w:themeColor="text1"/>
          <w:kern w:val="0"/>
          <w:sz w:val="32"/>
          <w:szCs w:val="32"/>
          <w:lang w:val="zh-CN"/>
          <w14:textFill>
            <w14:solidFill>
              <w14:schemeClr w14:val="tx1"/>
            </w14:solidFill>
          </w14:textFill>
        </w:rPr>
      </w:pPr>
      <w:r>
        <w:rPr>
          <w:rFonts w:hint="eastAsia" w:ascii="Times New Roman" w:hAnsi="Times New Roman" w:eastAsia="仿宋_GB2312" w:cs="仿宋_GB2312"/>
          <w:color w:val="000000" w:themeColor="text1"/>
          <w:sz w:val="32"/>
          <w:szCs w:val="32"/>
          <w:lang w:val="zh-CN"/>
          <w14:textFill>
            <w14:solidFill>
              <w14:schemeClr w14:val="tx1"/>
            </w14:solidFill>
          </w14:textFill>
        </w:rPr>
        <w:t>项目资金申报、批复及预算调整等程序的相关情况。</w:t>
      </w:r>
      <w:r>
        <w:rPr>
          <w:rFonts w:hint="eastAsia" w:ascii="Times New Roman" w:hAnsi="Times New Roman" w:eastAsia="仿宋_GB2312" w:cs="仿宋_GB2312"/>
          <w:color w:val="000000" w:themeColor="text1"/>
          <w:sz w:val="32"/>
          <w:szCs w:val="32"/>
          <w14:textFill>
            <w14:solidFill>
              <w14:schemeClr w14:val="tx1"/>
            </w14:solidFill>
          </w14:textFill>
        </w:rPr>
        <w:t>2024年初，市财政安排预算277万元，用于实验室设备添置及运行，其中，实验室设备添置经费257万元，实验室运行20万元。经请示市政府同意，实验室设备添置经费由257万元调整为139.98万元，实验室设备添置及运行经费合计159.98万元</w:t>
      </w:r>
      <w:r>
        <w:rPr>
          <w:rFonts w:hint="eastAsia" w:ascii="Times New Roman" w:hAnsi="Times New Roman" w:eastAsia="仿宋_GB2312" w:cs="仿宋_GB2312"/>
          <w:color w:val="000000" w:themeColor="text1"/>
          <w:sz w:val="32"/>
          <w:szCs w:val="32"/>
          <w:lang w:val="zh-CN"/>
          <w14:textFill>
            <w14:solidFill>
              <w14:schemeClr w14:val="tx1"/>
            </w14:solidFill>
          </w14:textFill>
        </w:rPr>
        <w:t>。</w:t>
      </w:r>
      <w:r>
        <w:rPr>
          <w:rFonts w:hint="eastAsia" w:ascii="Times New Roman" w:hAnsi="Times New Roman" w:eastAsia="仿宋_GB2312" w:cs="仿宋_GB2312"/>
          <w:color w:val="000000" w:themeColor="text1"/>
          <w:sz w:val="32"/>
          <w:szCs w:val="32"/>
          <w14:textFill>
            <w14:solidFill>
              <w14:schemeClr w14:val="tx1"/>
            </w14:solidFill>
          </w14:textFill>
        </w:rPr>
        <w:t>2025年结转实验室仪器设备添置及运行经费133</w:t>
      </w:r>
      <w:r>
        <w:rPr>
          <w:rFonts w:hint="eastAsia" w:ascii="Times New Roman" w:hAnsi="Times New Roman" w:eastAsia="仿宋_GB2312" w:cs="仿宋_GB2312"/>
          <w:color w:val="000000" w:themeColor="text1"/>
          <w:sz w:val="32"/>
          <w:szCs w:val="32"/>
          <w:lang w:val="en"/>
          <w14:textFill>
            <w14:solidFill>
              <w14:schemeClr w14:val="tx1"/>
            </w14:solidFill>
          </w14:textFill>
        </w:rPr>
        <w:t>.</w:t>
      </w:r>
      <w:r>
        <w:rPr>
          <w:rFonts w:hint="eastAsia" w:ascii="Times New Roman" w:hAnsi="Times New Roman" w:eastAsia="仿宋_GB2312" w:cs="仿宋_GB2312"/>
          <w:color w:val="000000" w:themeColor="text1"/>
          <w:sz w:val="32"/>
          <w:szCs w:val="32"/>
          <w14:textFill>
            <w14:solidFill>
              <w14:schemeClr w14:val="tx1"/>
            </w14:solidFill>
          </w14:textFill>
        </w:rPr>
        <w:t>19万元。</w:t>
      </w:r>
    </w:p>
    <w:p w14:paraId="41A0E092">
      <w:pPr>
        <w:keepNext w:val="0"/>
        <w:keepLines w:val="0"/>
        <w:pageBreakBefore w:val="0"/>
        <w:widowControl w:val="0"/>
        <w:kinsoku/>
        <w:wordWrap/>
        <w:overflowPunct/>
        <w:topLinePunct w:val="0"/>
        <w:autoSpaceDE/>
        <w:autoSpaceDN/>
        <w:bidi w:val="0"/>
        <w:adjustRightInd w:val="0"/>
        <w:snapToGrid w:val="0"/>
        <w:spacing w:line="600" w:lineRule="exact"/>
        <w:ind w:firstLine="643" w:firstLineChars="200"/>
        <w:textAlignment w:val="auto"/>
        <w:rPr>
          <w:rFonts w:hint="eastAsia" w:eastAsia="楷体_GB2312" w:cs="楷体_GB2312"/>
          <w:b/>
          <w:color w:val="000000" w:themeColor="text1"/>
          <w:sz w:val="32"/>
          <w:szCs w:val="32"/>
          <w:lang w:val="zh-CN"/>
          <w14:textFill>
            <w14:solidFill>
              <w14:schemeClr w14:val="tx1"/>
            </w14:solidFill>
          </w14:textFill>
        </w:rPr>
      </w:pPr>
      <w:r>
        <w:rPr>
          <w:rFonts w:hint="eastAsia" w:eastAsia="楷体_GB2312" w:cs="楷体_GB2312"/>
          <w:b/>
          <w:color w:val="000000" w:themeColor="text1"/>
          <w:sz w:val="32"/>
          <w:szCs w:val="32"/>
          <w:lang w:val="zh-CN"/>
          <w14:textFill>
            <w14:solidFill>
              <w14:schemeClr w14:val="tx1"/>
            </w14:solidFill>
          </w14:textFill>
        </w:rPr>
        <w:t>（二）资金计划、到位及使用情况</w:t>
      </w:r>
    </w:p>
    <w:p w14:paraId="36210701">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eastAsia" w:ascii="Times New Roman" w:hAnsi="Times New Roman" w:eastAsia="仿宋_GB2312" w:cs="仿宋_GB2312"/>
          <w:color w:val="000000" w:themeColor="text1"/>
          <w:spacing w:val="-10"/>
          <w:kern w:val="0"/>
          <w:sz w:val="32"/>
          <w:szCs w:val="32"/>
          <w:lang w:val="zh-CN"/>
          <w14:textFill>
            <w14:solidFill>
              <w14:schemeClr w14:val="tx1"/>
            </w14:solidFill>
          </w14:textFill>
        </w:rPr>
      </w:pPr>
      <w:r>
        <w:rPr>
          <w:rFonts w:hint="eastAsia" w:ascii="Times New Roman" w:hAnsi="Times New Roman" w:eastAsia="仿宋_GB2312" w:cs="仿宋_GB2312"/>
          <w:bCs/>
          <w:color w:val="000000" w:themeColor="text1"/>
          <w:sz w:val="32"/>
          <w:szCs w:val="32"/>
          <w:lang w:val="zh-CN"/>
          <w14:textFill>
            <w14:solidFill>
              <w14:schemeClr w14:val="tx1"/>
            </w14:solidFill>
          </w14:textFill>
        </w:rPr>
        <w:t>1</w:t>
      </w:r>
      <w:r>
        <w:rPr>
          <w:rFonts w:hint="eastAsia" w:ascii="Times New Roman" w:hAnsi="Times New Roman" w:eastAsia="仿宋_GB2312" w:cs="仿宋_GB2312"/>
          <w:bCs/>
          <w:color w:val="000000" w:themeColor="text1"/>
          <w:sz w:val="32"/>
          <w:szCs w:val="32"/>
          <w14:textFill>
            <w14:solidFill>
              <w14:schemeClr w14:val="tx1"/>
            </w14:solidFill>
          </w14:textFill>
        </w:rPr>
        <w:t>.</w:t>
      </w:r>
      <w:r>
        <w:rPr>
          <w:rFonts w:hint="eastAsia" w:ascii="Times New Roman" w:hAnsi="Times New Roman" w:eastAsia="仿宋_GB2312" w:cs="仿宋_GB2312"/>
          <w:bCs/>
          <w:color w:val="000000" w:themeColor="text1"/>
          <w:sz w:val="32"/>
          <w:szCs w:val="32"/>
          <w:lang w:val="zh-CN"/>
          <w14:textFill>
            <w14:solidFill>
              <w14:schemeClr w14:val="tx1"/>
            </w14:solidFill>
          </w14:textFill>
        </w:rPr>
        <w:t>资金计划。</w:t>
      </w:r>
      <w:r>
        <w:rPr>
          <w:rFonts w:hint="eastAsia" w:ascii="Times New Roman" w:hAnsi="Times New Roman" w:eastAsia="仿宋_GB2312" w:cs="仿宋_GB2312"/>
          <w:color w:val="000000" w:themeColor="text1"/>
          <w:spacing w:val="-10"/>
          <w:sz w:val="32"/>
          <w:szCs w:val="32"/>
          <w:lang w:val="zh-CN"/>
          <w14:textFill>
            <w14:solidFill>
              <w14:schemeClr w14:val="tx1"/>
            </w14:solidFill>
          </w14:textFill>
        </w:rPr>
        <w:t>资金为</w:t>
      </w:r>
      <w:r>
        <w:rPr>
          <w:rFonts w:hint="eastAsia" w:ascii="Times New Roman" w:hAnsi="Times New Roman" w:eastAsia="仿宋_GB2312" w:cs="仿宋_GB2312"/>
          <w:color w:val="000000" w:themeColor="text1"/>
          <w:spacing w:val="-10"/>
          <w:sz w:val="32"/>
          <w:szCs w:val="32"/>
          <w14:textFill>
            <w14:solidFill>
              <w14:schemeClr w14:val="tx1"/>
            </w14:solidFill>
          </w14:textFill>
        </w:rPr>
        <w:t>133</w:t>
      </w:r>
      <w:r>
        <w:rPr>
          <w:rFonts w:hint="eastAsia" w:ascii="Times New Roman" w:hAnsi="Times New Roman" w:eastAsia="仿宋_GB2312" w:cs="仿宋_GB2312"/>
          <w:color w:val="000000" w:themeColor="text1"/>
          <w:spacing w:val="-10"/>
          <w:sz w:val="32"/>
          <w:szCs w:val="32"/>
          <w:lang w:val="en"/>
          <w14:textFill>
            <w14:solidFill>
              <w14:schemeClr w14:val="tx1"/>
            </w14:solidFill>
          </w14:textFill>
        </w:rPr>
        <w:t>.</w:t>
      </w:r>
      <w:r>
        <w:rPr>
          <w:rFonts w:hint="eastAsia" w:ascii="Times New Roman" w:hAnsi="Times New Roman" w:eastAsia="仿宋_GB2312" w:cs="仿宋_GB2312"/>
          <w:color w:val="000000" w:themeColor="text1"/>
          <w:spacing w:val="-10"/>
          <w:sz w:val="32"/>
          <w:szCs w:val="32"/>
          <w14:textFill>
            <w14:solidFill>
              <w14:schemeClr w14:val="tx1"/>
            </w14:solidFill>
          </w14:textFill>
        </w:rPr>
        <w:t>19</w:t>
      </w:r>
      <w:r>
        <w:rPr>
          <w:rFonts w:hint="eastAsia" w:ascii="Times New Roman" w:hAnsi="Times New Roman" w:eastAsia="仿宋_GB2312" w:cs="仿宋_GB2312"/>
          <w:color w:val="000000" w:themeColor="text1"/>
          <w:spacing w:val="-10"/>
          <w:sz w:val="32"/>
          <w:szCs w:val="32"/>
          <w:lang w:val="zh-CN"/>
          <w14:textFill>
            <w14:solidFill>
              <w14:schemeClr w14:val="tx1"/>
            </w14:solidFill>
          </w14:textFill>
        </w:rPr>
        <w:t>万元，均为市级财政资金。</w:t>
      </w:r>
    </w:p>
    <w:p w14:paraId="1477D2AB">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eastAsia" w:ascii="Times New Roman" w:hAnsi="Times New Roman" w:eastAsia="仿宋_GB2312" w:cs="仿宋_GB2312"/>
          <w:color w:val="000000" w:themeColor="text1"/>
          <w:kern w:val="0"/>
          <w:sz w:val="32"/>
          <w:szCs w:val="32"/>
          <w:lang w:val="zh-CN"/>
          <w14:textFill>
            <w14:solidFill>
              <w14:schemeClr w14:val="tx1"/>
            </w14:solidFill>
          </w14:textFill>
        </w:rPr>
      </w:pPr>
      <w:r>
        <w:rPr>
          <w:rFonts w:hint="eastAsia" w:ascii="Times New Roman" w:hAnsi="Times New Roman" w:eastAsia="仿宋_GB2312" w:cs="仿宋_GB2312"/>
          <w:bCs/>
          <w:color w:val="000000" w:themeColor="text1"/>
          <w:sz w:val="32"/>
          <w:szCs w:val="32"/>
          <w:lang w:val="zh-CN"/>
          <w14:textFill>
            <w14:solidFill>
              <w14:schemeClr w14:val="tx1"/>
            </w14:solidFill>
          </w14:textFill>
        </w:rPr>
        <w:t>2</w:t>
      </w:r>
      <w:r>
        <w:rPr>
          <w:rFonts w:hint="eastAsia" w:ascii="Times New Roman" w:hAnsi="Times New Roman" w:eastAsia="仿宋_GB2312" w:cs="仿宋_GB2312"/>
          <w:bCs/>
          <w:color w:val="000000" w:themeColor="text1"/>
          <w:sz w:val="32"/>
          <w:szCs w:val="32"/>
          <w14:textFill>
            <w14:solidFill>
              <w14:schemeClr w14:val="tx1"/>
            </w14:solidFill>
          </w14:textFill>
        </w:rPr>
        <w:t>.</w:t>
      </w:r>
      <w:r>
        <w:rPr>
          <w:rFonts w:hint="eastAsia" w:ascii="Times New Roman" w:hAnsi="Times New Roman" w:eastAsia="仿宋_GB2312" w:cs="仿宋_GB2312"/>
          <w:bCs/>
          <w:color w:val="000000" w:themeColor="text1"/>
          <w:sz w:val="32"/>
          <w:szCs w:val="32"/>
          <w:lang w:val="zh-CN"/>
          <w14:textFill>
            <w14:solidFill>
              <w14:schemeClr w14:val="tx1"/>
            </w14:solidFill>
          </w14:textFill>
        </w:rPr>
        <w:t>资金到位。</w:t>
      </w:r>
      <w:r>
        <w:rPr>
          <w:rFonts w:hint="eastAsia" w:ascii="Times New Roman" w:hAnsi="Times New Roman" w:eastAsia="仿宋_GB2312" w:cs="仿宋_GB2312"/>
          <w:color w:val="000000" w:themeColor="text1"/>
          <w:sz w:val="32"/>
          <w:szCs w:val="32"/>
          <w:lang w:val="zh-CN"/>
          <w14:textFill>
            <w14:solidFill>
              <w14:schemeClr w14:val="tx1"/>
            </w14:solidFill>
          </w14:textFill>
        </w:rPr>
        <w:t>该项目资金</w:t>
      </w:r>
      <w:r>
        <w:rPr>
          <w:rFonts w:hint="eastAsia" w:ascii="Times New Roman" w:hAnsi="Times New Roman" w:eastAsia="仿宋_GB2312" w:cs="仿宋_GB2312"/>
          <w:color w:val="000000" w:themeColor="text1"/>
          <w:sz w:val="32"/>
          <w:szCs w:val="32"/>
          <w14:textFill>
            <w14:solidFill>
              <w14:schemeClr w14:val="tx1"/>
            </w14:solidFill>
          </w14:textFill>
        </w:rPr>
        <w:t>133</w:t>
      </w:r>
      <w:r>
        <w:rPr>
          <w:rFonts w:hint="eastAsia" w:ascii="Times New Roman" w:hAnsi="Times New Roman" w:eastAsia="仿宋_GB2312" w:cs="仿宋_GB2312"/>
          <w:color w:val="000000" w:themeColor="text1"/>
          <w:sz w:val="32"/>
          <w:szCs w:val="32"/>
          <w:lang w:val="en"/>
          <w14:textFill>
            <w14:solidFill>
              <w14:schemeClr w14:val="tx1"/>
            </w14:solidFill>
          </w14:textFill>
        </w:rPr>
        <w:t>.</w:t>
      </w:r>
      <w:r>
        <w:rPr>
          <w:rFonts w:hint="eastAsia" w:ascii="Times New Roman" w:hAnsi="Times New Roman" w:eastAsia="仿宋_GB2312" w:cs="仿宋_GB2312"/>
          <w:color w:val="000000" w:themeColor="text1"/>
          <w:sz w:val="32"/>
          <w:szCs w:val="32"/>
          <w14:textFill>
            <w14:solidFill>
              <w14:schemeClr w14:val="tx1"/>
            </w14:solidFill>
          </w14:textFill>
        </w:rPr>
        <w:t>19</w:t>
      </w:r>
      <w:r>
        <w:rPr>
          <w:rFonts w:hint="eastAsia" w:ascii="Times New Roman" w:hAnsi="Times New Roman" w:eastAsia="仿宋_GB2312" w:cs="仿宋_GB2312"/>
          <w:color w:val="000000" w:themeColor="text1"/>
          <w:sz w:val="32"/>
          <w:szCs w:val="32"/>
          <w:lang w:val="zh-CN"/>
          <w14:textFill>
            <w14:solidFill>
              <w14:schemeClr w14:val="tx1"/>
            </w14:solidFill>
          </w14:textFill>
        </w:rPr>
        <w:t>万元于</w:t>
      </w:r>
      <w:r>
        <w:rPr>
          <w:rFonts w:hint="eastAsia" w:ascii="Times New Roman" w:hAnsi="Times New Roman" w:eastAsia="仿宋_GB2312" w:cs="仿宋_GB2312"/>
          <w:color w:val="000000" w:themeColor="text1"/>
          <w:sz w:val="32"/>
          <w:szCs w:val="32"/>
          <w14:textFill>
            <w14:solidFill>
              <w14:schemeClr w14:val="tx1"/>
            </w14:solidFill>
          </w14:textFill>
        </w:rPr>
        <w:t>2025年4月到位</w:t>
      </w:r>
      <w:r>
        <w:rPr>
          <w:rFonts w:hint="eastAsia" w:ascii="Times New Roman" w:hAnsi="Times New Roman" w:eastAsia="仿宋_GB2312" w:cs="仿宋_GB2312"/>
          <w:color w:val="000000" w:themeColor="text1"/>
          <w:sz w:val="32"/>
          <w:szCs w:val="32"/>
          <w:lang w:val="zh-CN"/>
          <w14:textFill>
            <w14:solidFill>
              <w14:schemeClr w14:val="tx1"/>
            </w14:solidFill>
          </w14:textFill>
        </w:rPr>
        <w:t>。资金到位情况与资金计划符合，资金到位率100%、到位及时性满足使用要求。</w:t>
      </w:r>
    </w:p>
    <w:p w14:paraId="74490BC7">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eastAsia" w:ascii="Times New Roman" w:hAnsi="Times New Roman" w:eastAsia="仿宋_GB2312" w:cs="仿宋_GB2312"/>
          <w:color w:val="000000" w:themeColor="text1"/>
          <w:kern w:val="0"/>
          <w:sz w:val="32"/>
          <w:szCs w:val="32"/>
          <w:lang w:val="zh-CN"/>
          <w14:textFill>
            <w14:solidFill>
              <w14:schemeClr w14:val="tx1"/>
            </w14:solidFill>
          </w14:textFill>
        </w:rPr>
      </w:pPr>
      <w:r>
        <w:rPr>
          <w:rFonts w:hint="eastAsia" w:ascii="Times New Roman" w:hAnsi="Times New Roman" w:eastAsia="仿宋_GB2312" w:cs="仿宋_GB2312"/>
          <w:bCs/>
          <w:color w:val="000000" w:themeColor="text1"/>
          <w:sz w:val="32"/>
          <w:szCs w:val="32"/>
          <w:lang w:val="zh-CN"/>
          <w14:textFill>
            <w14:solidFill>
              <w14:schemeClr w14:val="tx1"/>
            </w14:solidFill>
          </w14:textFill>
        </w:rPr>
        <w:t>3</w:t>
      </w:r>
      <w:r>
        <w:rPr>
          <w:rFonts w:hint="eastAsia" w:ascii="Times New Roman" w:hAnsi="Times New Roman" w:eastAsia="仿宋_GB2312" w:cs="仿宋_GB2312"/>
          <w:bCs/>
          <w:color w:val="000000" w:themeColor="text1"/>
          <w:sz w:val="32"/>
          <w:szCs w:val="32"/>
          <w14:textFill>
            <w14:solidFill>
              <w14:schemeClr w14:val="tx1"/>
            </w14:solidFill>
          </w14:textFill>
        </w:rPr>
        <w:t>.</w:t>
      </w:r>
      <w:r>
        <w:rPr>
          <w:rFonts w:hint="eastAsia" w:ascii="Times New Roman" w:hAnsi="Times New Roman" w:eastAsia="仿宋_GB2312" w:cs="仿宋_GB2312"/>
          <w:bCs/>
          <w:color w:val="000000" w:themeColor="text1"/>
          <w:sz w:val="32"/>
          <w:szCs w:val="32"/>
          <w:lang w:val="zh-CN"/>
          <w14:textFill>
            <w14:solidFill>
              <w14:schemeClr w14:val="tx1"/>
            </w14:solidFill>
          </w14:textFill>
        </w:rPr>
        <w:t>资金使用。</w:t>
      </w:r>
      <w:r>
        <w:rPr>
          <w:rFonts w:hint="eastAsia" w:ascii="Times New Roman" w:hAnsi="Times New Roman" w:eastAsia="仿宋_GB2312" w:cs="仿宋_GB2312"/>
          <w:color w:val="000000" w:themeColor="text1"/>
          <w:sz w:val="32"/>
          <w:szCs w:val="32"/>
          <w:lang w:val="zh-CN"/>
          <w14:textFill>
            <w14:solidFill>
              <w14:schemeClr w14:val="tx1"/>
            </w14:solidFill>
          </w14:textFill>
        </w:rPr>
        <w:t>资金使用率</w:t>
      </w:r>
      <w:r>
        <w:rPr>
          <w:rFonts w:hint="eastAsia" w:ascii="Times New Roman" w:hAnsi="Times New Roman" w:eastAsia="仿宋_GB2312" w:cs="仿宋_GB2312"/>
          <w:color w:val="000000" w:themeColor="text1"/>
          <w:sz w:val="32"/>
          <w:szCs w:val="32"/>
          <w14:textFill>
            <w14:solidFill>
              <w14:schemeClr w14:val="tx1"/>
            </w14:solidFill>
          </w14:textFill>
        </w:rPr>
        <w:t>100</w:t>
      </w:r>
      <w:r>
        <w:rPr>
          <w:rFonts w:hint="eastAsia" w:ascii="Times New Roman" w:hAnsi="Times New Roman" w:eastAsia="仿宋_GB2312" w:cs="仿宋_GB2312"/>
          <w:color w:val="000000" w:themeColor="text1"/>
          <w:sz w:val="32"/>
          <w:szCs w:val="32"/>
          <w:lang w:val="zh-CN"/>
          <w14:textFill>
            <w14:solidFill>
              <w14:schemeClr w14:val="tx1"/>
            </w14:solidFill>
          </w14:textFill>
        </w:rPr>
        <w:t>%，资金支付范围为攀枝花市粮食质量检验监测中心实验室实验耗材采购费、仪器设备采购费、实验室网络费用，支付进度100%。</w:t>
      </w:r>
    </w:p>
    <w:p w14:paraId="3196047F">
      <w:pPr>
        <w:keepNext w:val="0"/>
        <w:keepLines w:val="0"/>
        <w:pageBreakBefore w:val="0"/>
        <w:widowControl w:val="0"/>
        <w:kinsoku/>
        <w:wordWrap/>
        <w:overflowPunct/>
        <w:topLinePunct w:val="0"/>
        <w:autoSpaceDE/>
        <w:autoSpaceDN/>
        <w:bidi w:val="0"/>
        <w:adjustRightInd w:val="0"/>
        <w:snapToGrid w:val="0"/>
        <w:spacing w:line="600" w:lineRule="exact"/>
        <w:ind w:firstLine="643" w:firstLineChars="200"/>
        <w:textAlignment w:val="auto"/>
        <w:rPr>
          <w:rFonts w:hint="eastAsia" w:eastAsia="楷体_GB2312" w:cs="楷体_GB2312"/>
          <w:b/>
          <w:color w:val="000000" w:themeColor="text1"/>
          <w:sz w:val="32"/>
          <w:szCs w:val="32"/>
          <w:lang w:val="zh-CN"/>
          <w14:textFill>
            <w14:solidFill>
              <w14:schemeClr w14:val="tx1"/>
            </w14:solidFill>
          </w14:textFill>
        </w:rPr>
      </w:pPr>
      <w:r>
        <w:rPr>
          <w:rFonts w:hint="eastAsia" w:eastAsia="楷体_GB2312" w:cs="楷体_GB2312"/>
          <w:b/>
          <w:color w:val="000000" w:themeColor="text1"/>
          <w:sz w:val="32"/>
          <w:szCs w:val="32"/>
          <w:lang w:val="zh-CN"/>
          <w14:textFill>
            <w14:solidFill>
              <w14:schemeClr w14:val="tx1"/>
            </w14:solidFill>
          </w14:textFill>
        </w:rPr>
        <w:t>（三）项目财务管理情况</w:t>
      </w:r>
    </w:p>
    <w:p w14:paraId="27395620">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eastAsia" w:ascii="Times New Roman" w:hAnsi="Times New Roman" w:eastAsia="仿宋_GB2312" w:cs="仿宋_GB2312"/>
          <w:color w:val="000000" w:themeColor="text1"/>
          <w:kern w:val="0"/>
          <w:sz w:val="32"/>
          <w:szCs w:val="32"/>
          <w:lang w:val="zh-CN"/>
          <w14:textFill>
            <w14:solidFill>
              <w14:schemeClr w14:val="tx1"/>
            </w14:solidFill>
          </w14:textFill>
        </w:rPr>
      </w:pPr>
      <w:r>
        <w:rPr>
          <w:rFonts w:hint="eastAsia" w:ascii="Times New Roman" w:hAnsi="Times New Roman" w:eastAsia="仿宋_GB2312" w:cs="仿宋_GB2312"/>
          <w:color w:val="000000" w:themeColor="text1"/>
          <w:sz w:val="32"/>
          <w:szCs w:val="32"/>
          <w:lang w:val="zh-CN"/>
          <w14:textFill>
            <w14:solidFill>
              <w14:schemeClr w14:val="tx1"/>
            </w14:solidFill>
          </w14:textFill>
        </w:rPr>
        <w:t>该项目实施单位财务管理制度健全，严格执行财务管理制度，账务处理及时，会计核算规范，无违规记录。资金使用过程中，严格执行专款专用、分级审批制度，所有资金支付均提供合法、有效的原始凭证、合同、验收报告等佐证材料，经严格审核后按程序支付；账务处理及时规范，会计核算清晰准确，严格区分项目资金与日常公用经费，做到账证相符、账账相符、账实相符，确保资金使用安全、高效。</w:t>
      </w:r>
    </w:p>
    <w:p w14:paraId="4115A384">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eastAsia" w:ascii="黑体" w:hAnsi="黑体" w:eastAsia="黑体" w:cs="黑体"/>
          <w:color w:val="000000" w:themeColor="text1"/>
          <w:sz w:val="32"/>
          <w:szCs w:val="32"/>
          <w14:textFill>
            <w14:solidFill>
              <w14:schemeClr w14:val="tx1"/>
            </w14:solidFill>
          </w14:textFill>
        </w:rPr>
      </w:pPr>
      <w:r>
        <w:rPr>
          <w:rFonts w:hint="eastAsia" w:ascii="黑体" w:hAnsi="黑体" w:eastAsia="黑体" w:cs="黑体"/>
          <w:color w:val="000000" w:themeColor="text1"/>
          <w:sz w:val="32"/>
          <w:szCs w:val="32"/>
          <w14:textFill>
            <w14:solidFill>
              <w14:schemeClr w14:val="tx1"/>
            </w14:solidFill>
          </w14:textFill>
        </w:rPr>
        <w:t>三、项目实施及管理情况</w:t>
      </w:r>
    </w:p>
    <w:p w14:paraId="2E922931">
      <w:pPr>
        <w:keepNext w:val="0"/>
        <w:keepLines w:val="0"/>
        <w:pageBreakBefore w:val="0"/>
        <w:widowControl w:val="0"/>
        <w:kinsoku/>
        <w:wordWrap/>
        <w:overflowPunct/>
        <w:topLinePunct w:val="0"/>
        <w:autoSpaceDE/>
        <w:autoSpaceDN/>
        <w:bidi w:val="0"/>
        <w:adjustRightInd w:val="0"/>
        <w:snapToGrid w:val="0"/>
        <w:spacing w:line="600" w:lineRule="exact"/>
        <w:ind w:firstLine="643" w:firstLineChars="200"/>
        <w:textAlignment w:val="auto"/>
        <w:rPr>
          <w:rFonts w:hint="eastAsia" w:ascii="Times New Roman" w:hAnsi="Times New Roman" w:eastAsia="仿宋_GB2312" w:cs="仿宋_GB2312"/>
          <w:color w:val="000000" w:themeColor="text1"/>
          <w:kern w:val="0"/>
          <w:sz w:val="32"/>
          <w:szCs w:val="32"/>
          <w:lang w:val="zh-CN"/>
          <w14:textFill>
            <w14:solidFill>
              <w14:schemeClr w14:val="tx1"/>
            </w14:solidFill>
          </w14:textFill>
        </w:rPr>
      </w:pPr>
      <w:r>
        <w:rPr>
          <w:rFonts w:hint="eastAsia" w:eastAsia="楷体_GB2312" w:cs="楷体_GB2312"/>
          <w:b/>
          <w:color w:val="000000" w:themeColor="text1"/>
          <w:sz w:val="32"/>
          <w:szCs w:val="32"/>
          <w:lang w:val="zh-CN"/>
          <w14:textFill>
            <w14:solidFill>
              <w14:schemeClr w14:val="tx1"/>
            </w14:solidFill>
          </w14:textFill>
        </w:rPr>
        <w:t>（一）项目组织架构及实施流程。</w:t>
      </w:r>
      <w:r>
        <w:rPr>
          <w:rFonts w:hint="eastAsia" w:ascii="Times New Roman" w:hAnsi="Times New Roman" w:eastAsia="仿宋_GB2312" w:cs="仿宋_GB2312"/>
          <w:color w:val="000000" w:themeColor="text1"/>
          <w:sz w:val="32"/>
          <w:szCs w:val="32"/>
          <w:lang w:val="zh-CN"/>
          <w14:textFill>
            <w14:solidFill>
              <w14:schemeClr w14:val="tx1"/>
            </w14:solidFill>
          </w14:textFill>
        </w:rPr>
        <w:t>项目由市发展改革委下属事业单位市重要和应急物资储备中心负责，受委托开展粮油产品质量检验监测工作，并负责实验室的建设和运行工作。</w:t>
      </w:r>
      <w:r>
        <w:rPr>
          <w:rFonts w:hint="eastAsia" w:ascii="Times New Roman" w:hAnsi="Times New Roman" w:eastAsia="仿宋_GB2312" w:cs="仿宋_GB2312"/>
          <w:color w:val="000000" w:themeColor="text1"/>
          <w:sz w:val="32"/>
          <w:szCs w:val="32"/>
          <w14:textFill>
            <w14:solidFill>
              <w14:schemeClr w14:val="tx1"/>
            </w14:solidFill>
          </w14:textFill>
        </w:rPr>
        <w:t>项目由</w:t>
      </w:r>
      <w:r>
        <w:rPr>
          <w:rFonts w:hint="eastAsia" w:ascii="Times New Roman" w:hAnsi="Times New Roman" w:eastAsia="仿宋_GB2312" w:cs="仿宋_GB2312"/>
          <w:color w:val="000000" w:themeColor="text1"/>
          <w:sz w:val="32"/>
          <w:szCs w:val="32"/>
          <w:lang w:val="zh-CN"/>
          <w14:textFill>
            <w14:solidFill>
              <w14:schemeClr w14:val="tx1"/>
            </w14:solidFill>
          </w14:textFill>
        </w:rPr>
        <w:t>市发展改革委按政府采购流程和公开招标方式组织开展市粮食质量检验监测中心实验室实验耗材采购、仪器设备采购招标工作，招标工作完成后，按程序及时与供应商签订合同，根据实验室施工进度组织仪器设备和实验耗材的验收、安装、调试工作。</w:t>
      </w:r>
    </w:p>
    <w:p w14:paraId="00695EC7">
      <w:pPr>
        <w:keepNext w:val="0"/>
        <w:keepLines w:val="0"/>
        <w:pageBreakBefore w:val="0"/>
        <w:widowControl w:val="0"/>
        <w:kinsoku/>
        <w:wordWrap/>
        <w:overflowPunct/>
        <w:topLinePunct w:val="0"/>
        <w:autoSpaceDE/>
        <w:autoSpaceDN/>
        <w:bidi w:val="0"/>
        <w:adjustRightInd w:val="0"/>
        <w:snapToGrid w:val="0"/>
        <w:spacing w:line="600" w:lineRule="exact"/>
        <w:ind w:firstLine="643" w:firstLineChars="200"/>
        <w:textAlignment w:val="auto"/>
        <w:rPr>
          <w:rFonts w:hint="eastAsia" w:ascii="Times New Roman" w:hAnsi="Times New Roman" w:eastAsia="仿宋_GB2312" w:cs="仿宋_GB2312"/>
          <w:color w:val="000000" w:themeColor="text1"/>
          <w:kern w:val="0"/>
          <w:sz w:val="32"/>
          <w:szCs w:val="32"/>
          <w:lang w:val="zh-CN"/>
          <w14:textFill>
            <w14:solidFill>
              <w14:schemeClr w14:val="tx1"/>
            </w14:solidFill>
          </w14:textFill>
        </w:rPr>
      </w:pPr>
      <w:r>
        <w:rPr>
          <w:rFonts w:hint="eastAsia" w:eastAsia="楷体_GB2312" w:cs="楷体_GB2312"/>
          <w:b/>
          <w:color w:val="000000" w:themeColor="text1"/>
          <w:sz w:val="32"/>
          <w:szCs w:val="32"/>
          <w:lang w:val="zh-CN"/>
          <w14:textFill>
            <w14:solidFill>
              <w14:schemeClr w14:val="tx1"/>
            </w14:solidFill>
          </w14:textFill>
        </w:rPr>
        <w:t>（二）项目管理情况。</w:t>
      </w:r>
      <w:r>
        <w:rPr>
          <w:rFonts w:hint="eastAsia" w:ascii="Times New Roman" w:hAnsi="Times New Roman" w:eastAsia="仿宋_GB2312" w:cs="仿宋_GB2312"/>
          <w:color w:val="000000" w:themeColor="text1"/>
          <w:sz w:val="32"/>
          <w:szCs w:val="32"/>
          <w:lang w:val="zh-CN"/>
          <w14:textFill>
            <w14:solidFill>
              <w14:schemeClr w14:val="tx1"/>
            </w14:solidFill>
          </w14:textFill>
        </w:rPr>
        <w:t>各项目实施单位严格执行相关法律法规及项目管理制度，招投标、政府采购、公示等程序合法合规。</w:t>
      </w:r>
    </w:p>
    <w:p w14:paraId="41AE3130">
      <w:pPr>
        <w:keepNext w:val="0"/>
        <w:keepLines w:val="0"/>
        <w:pageBreakBefore w:val="0"/>
        <w:widowControl w:val="0"/>
        <w:kinsoku/>
        <w:wordWrap/>
        <w:overflowPunct/>
        <w:topLinePunct w:val="0"/>
        <w:autoSpaceDE/>
        <w:autoSpaceDN/>
        <w:bidi w:val="0"/>
        <w:adjustRightInd w:val="0"/>
        <w:snapToGrid w:val="0"/>
        <w:spacing w:line="600" w:lineRule="exact"/>
        <w:ind w:firstLine="643" w:firstLineChars="200"/>
        <w:textAlignment w:val="auto"/>
        <w:rPr>
          <w:rFonts w:hint="eastAsia" w:ascii="Times New Roman" w:hAnsi="Times New Roman" w:eastAsia="仿宋_GB2312" w:cs="仿宋_GB2312"/>
          <w:color w:val="000000" w:themeColor="text1"/>
          <w:kern w:val="0"/>
          <w:sz w:val="32"/>
          <w:szCs w:val="32"/>
          <w:lang w:val="zh-CN"/>
          <w14:textFill>
            <w14:solidFill>
              <w14:schemeClr w14:val="tx1"/>
            </w14:solidFill>
          </w14:textFill>
        </w:rPr>
      </w:pPr>
      <w:r>
        <w:rPr>
          <w:rFonts w:hint="eastAsia" w:eastAsia="楷体_GB2312" w:cs="楷体_GB2312"/>
          <w:b/>
          <w:color w:val="000000" w:themeColor="text1"/>
          <w:sz w:val="32"/>
          <w:szCs w:val="32"/>
          <w:lang w:val="zh-CN"/>
          <w14:textFill>
            <w14:solidFill>
              <w14:schemeClr w14:val="tx1"/>
            </w14:solidFill>
          </w14:textFill>
        </w:rPr>
        <w:t>（三）项目监管情况。</w:t>
      </w:r>
      <w:r>
        <w:rPr>
          <w:rFonts w:hint="eastAsia" w:ascii="Times New Roman" w:hAnsi="Times New Roman" w:eastAsia="仿宋_GB2312" w:cs="仿宋_GB2312"/>
          <w:color w:val="000000" w:themeColor="text1"/>
          <w:sz w:val="32"/>
          <w:szCs w:val="32"/>
          <w:lang w:val="zh-CN"/>
          <w14:textFill>
            <w14:solidFill>
              <w14:schemeClr w14:val="tx1"/>
            </w14:solidFill>
          </w14:textFill>
        </w:rPr>
        <w:t>项目负责部门加强项目管理，严格遵守政府采购流程开展实验室仪器设备采购招标工作。根据中标文件，对到货仪器设备、实验耗材的数量和外观进行全方位的检查，及时发现供应货物中的质量瑕疵，督促供应单位更换有质量瑕疵的货物。</w:t>
      </w:r>
    </w:p>
    <w:p w14:paraId="2AECB6BC">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eastAsia" w:ascii="黑体" w:hAnsi="黑体" w:eastAsia="黑体" w:cs="黑体"/>
          <w:color w:val="000000" w:themeColor="text1"/>
          <w:sz w:val="32"/>
          <w:szCs w:val="32"/>
          <w:lang w:val="zh-CN"/>
          <w14:textFill>
            <w14:solidFill>
              <w14:schemeClr w14:val="tx1"/>
            </w14:solidFill>
          </w14:textFill>
        </w:rPr>
      </w:pPr>
      <w:r>
        <w:rPr>
          <w:rFonts w:hint="eastAsia" w:ascii="黑体" w:hAnsi="黑体" w:eastAsia="黑体" w:cs="黑体"/>
          <w:color w:val="000000" w:themeColor="text1"/>
          <w:sz w:val="32"/>
          <w:szCs w:val="32"/>
          <w14:textFill>
            <w14:solidFill>
              <w14:schemeClr w14:val="tx1"/>
            </w14:solidFill>
          </w14:textFill>
        </w:rPr>
        <w:t>四、项目绩效情况</w:t>
      </w:r>
    </w:p>
    <w:p w14:paraId="2D96BD8F">
      <w:pPr>
        <w:keepNext w:val="0"/>
        <w:keepLines w:val="0"/>
        <w:pageBreakBefore w:val="0"/>
        <w:widowControl w:val="0"/>
        <w:kinsoku/>
        <w:wordWrap/>
        <w:overflowPunct/>
        <w:topLinePunct w:val="0"/>
        <w:autoSpaceDE/>
        <w:autoSpaceDN/>
        <w:bidi w:val="0"/>
        <w:adjustRightInd w:val="0"/>
        <w:snapToGrid w:val="0"/>
        <w:spacing w:line="600" w:lineRule="exact"/>
        <w:ind w:firstLine="643" w:firstLineChars="200"/>
        <w:textAlignment w:val="auto"/>
        <w:rPr>
          <w:rFonts w:hint="eastAsia" w:eastAsia="楷体_GB2312" w:cs="楷体_GB2312"/>
          <w:b/>
          <w:color w:val="000000" w:themeColor="text1"/>
          <w:sz w:val="32"/>
          <w:szCs w:val="32"/>
          <w:lang w:val="zh-CN"/>
          <w14:textFill>
            <w14:solidFill>
              <w14:schemeClr w14:val="tx1"/>
            </w14:solidFill>
          </w14:textFill>
        </w:rPr>
      </w:pPr>
      <w:r>
        <w:rPr>
          <w:rFonts w:hint="eastAsia" w:eastAsia="楷体_GB2312" w:cs="楷体_GB2312"/>
          <w:b/>
          <w:color w:val="000000" w:themeColor="text1"/>
          <w:sz w:val="32"/>
          <w:szCs w:val="32"/>
          <w:lang w:val="zh-CN"/>
          <w14:textFill>
            <w14:solidFill>
              <w14:schemeClr w14:val="tx1"/>
            </w14:solidFill>
          </w14:textFill>
        </w:rPr>
        <w:t>（一）项目完成情况</w:t>
      </w:r>
    </w:p>
    <w:p w14:paraId="5EE2042F">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eastAsia" w:ascii="Times New Roman" w:hAnsi="Times New Roman" w:eastAsia="仿宋_GB2312" w:cs="仿宋_GB2312"/>
          <w:color w:val="000000" w:themeColor="text1"/>
          <w:kern w:val="0"/>
          <w:sz w:val="32"/>
          <w:szCs w:val="32"/>
          <w:lang w:val="zh-CN"/>
          <w14:textFill>
            <w14:solidFill>
              <w14:schemeClr w14:val="tx1"/>
            </w14:solidFill>
          </w14:textFill>
        </w:rPr>
      </w:pPr>
      <w:r>
        <w:rPr>
          <w:rFonts w:hint="eastAsia" w:ascii="Times New Roman" w:hAnsi="Times New Roman" w:eastAsia="仿宋_GB2312" w:cs="仿宋_GB2312"/>
          <w:color w:val="000000" w:themeColor="text1"/>
          <w:sz w:val="32"/>
          <w:szCs w:val="32"/>
          <w:lang w:val="zh-CN"/>
          <w14:textFill>
            <w14:solidFill>
              <w14:schemeClr w14:val="tx1"/>
            </w14:solidFill>
          </w14:textFill>
        </w:rPr>
        <w:t>该项目下的实验耗材采购和实验仪器设备全部完成采购，各项任务指标均达到预期要求。一是采购工作全部完成，实验室所需实验耗材、仪器设备已全部采购到位；二是验收质量达标，所有到货的实验耗材、仪器设备经严格验收，验收合格率100%，耗材质量符合行业标准，仪器设备安装调试后运行稳定，能够满足实验室检验监测工作的技术需求；三是资金使用规范高效，结转资金133.1</w:t>
      </w:r>
      <w:r>
        <w:rPr>
          <w:rFonts w:hint="eastAsia" w:ascii="Times New Roman" w:hAnsi="Times New Roman" w:eastAsia="仿宋_GB2312" w:cs="仿宋_GB2312"/>
          <w:color w:val="000000" w:themeColor="text1"/>
          <w:sz w:val="32"/>
          <w:szCs w:val="32"/>
          <w14:textFill>
            <w14:solidFill>
              <w14:schemeClr w14:val="tx1"/>
            </w14:solidFill>
          </w14:textFill>
        </w:rPr>
        <w:t>9</w:t>
      </w:r>
      <w:r>
        <w:rPr>
          <w:rFonts w:hint="eastAsia" w:ascii="Times New Roman" w:hAnsi="Times New Roman" w:eastAsia="仿宋_GB2312" w:cs="仿宋_GB2312"/>
          <w:color w:val="000000" w:themeColor="text1"/>
          <w:sz w:val="32"/>
          <w:szCs w:val="32"/>
          <w:lang w:val="zh-CN"/>
          <w14:textFill>
            <w14:solidFill>
              <w14:schemeClr w14:val="tx1"/>
            </w14:solidFill>
          </w14:textFill>
        </w:rPr>
        <w:t>万元已全部使用完毕，资金使用率100%，支付依据合规、流程规范；四是实现资金节约，项目实施过程中，严格控制招标价格及采购成本，通过公开招标择优选择供应商，有效降低采购费用，整个项目较预算结余约10.6万元，实现了资金使用效益最大化；五是实施进度达标，严格按照项目进度计划推进各项工作，于2025年7月底前全面完成所有耗材供货、仪器设备安装调试及验收工作，按时完成项目全部实施任务。</w:t>
      </w:r>
    </w:p>
    <w:p w14:paraId="34F7B05A">
      <w:pPr>
        <w:keepNext w:val="0"/>
        <w:keepLines w:val="0"/>
        <w:pageBreakBefore w:val="0"/>
        <w:widowControl w:val="0"/>
        <w:kinsoku/>
        <w:wordWrap/>
        <w:overflowPunct/>
        <w:topLinePunct w:val="0"/>
        <w:autoSpaceDE/>
        <w:autoSpaceDN/>
        <w:bidi w:val="0"/>
        <w:adjustRightInd w:val="0"/>
        <w:snapToGrid w:val="0"/>
        <w:spacing w:line="600" w:lineRule="exact"/>
        <w:ind w:firstLine="643" w:firstLineChars="200"/>
        <w:textAlignment w:val="auto"/>
        <w:rPr>
          <w:rFonts w:hint="eastAsia" w:eastAsia="楷体_GB2312" w:cs="楷体_GB2312"/>
          <w:b/>
          <w:color w:val="000000" w:themeColor="text1"/>
          <w:sz w:val="32"/>
          <w:szCs w:val="32"/>
          <w:lang w:val="zh-CN"/>
          <w14:textFill>
            <w14:solidFill>
              <w14:schemeClr w14:val="tx1"/>
            </w14:solidFill>
          </w14:textFill>
        </w:rPr>
      </w:pPr>
      <w:r>
        <w:rPr>
          <w:rFonts w:hint="eastAsia" w:eastAsia="楷体_GB2312" w:cs="楷体_GB2312"/>
          <w:b/>
          <w:color w:val="000000" w:themeColor="text1"/>
          <w:sz w:val="32"/>
          <w:szCs w:val="32"/>
          <w:lang w:val="zh-CN"/>
          <w14:textFill>
            <w14:solidFill>
              <w14:schemeClr w14:val="tx1"/>
            </w14:solidFill>
          </w14:textFill>
        </w:rPr>
        <w:t>（二）项目效益情况</w:t>
      </w:r>
    </w:p>
    <w:p w14:paraId="05E56964">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eastAsia" w:ascii="Times New Roman" w:hAnsi="Times New Roman" w:eastAsia="仿宋_GB2312" w:cs="仿宋_GB2312"/>
          <w:color w:val="000000" w:themeColor="text1"/>
          <w:kern w:val="0"/>
          <w:sz w:val="32"/>
          <w:szCs w:val="32"/>
          <w:lang w:val="zh-CN"/>
          <w14:textFill>
            <w14:solidFill>
              <w14:schemeClr w14:val="tx1"/>
            </w14:solidFill>
          </w14:textFill>
        </w:rPr>
      </w:pPr>
      <w:r>
        <w:rPr>
          <w:rFonts w:hint="eastAsia" w:ascii="Times New Roman" w:hAnsi="Times New Roman" w:eastAsia="仿宋_GB2312" w:cs="仿宋_GB2312"/>
          <w:color w:val="000000" w:themeColor="text1"/>
          <w:sz w:val="32"/>
          <w:szCs w:val="32"/>
          <w14:textFill>
            <w14:solidFill>
              <w14:schemeClr w14:val="tx1"/>
            </w14:solidFill>
          </w14:textFill>
        </w:rPr>
        <w:t>项目推进工作高效有序进行，</w:t>
      </w:r>
      <w:r>
        <w:rPr>
          <w:rFonts w:hint="eastAsia" w:ascii="Times New Roman" w:hAnsi="Times New Roman" w:eastAsia="仿宋_GB2312" w:cs="仿宋_GB2312"/>
          <w:color w:val="000000" w:themeColor="text1"/>
          <w:sz w:val="32"/>
          <w:szCs w:val="32"/>
          <w:lang w:val="zh-CN"/>
          <w14:textFill>
            <w14:solidFill>
              <w14:schemeClr w14:val="tx1"/>
            </w14:solidFill>
          </w14:textFill>
        </w:rPr>
        <w:t>为后期攀枝花市粮食质量的安全监测提供了保障，为攀枝花市粮食质量检验监测水平的提升奠定了基础，为攀枝花市粮食质量的安全保驾护航提供了强有力的后盾支撑，有效地保障了群众的舌尖安全。</w:t>
      </w:r>
    </w:p>
    <w:p w14:paraId="633A2251">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eastAsia" w:ascii="黑体" w:hAnsi="黑体" w:eastAsia="黑体" w:cs="黑体"/>
          <w:color w:val="000000" w:themeColor="text1"/>
          <w:sz w:val="32"/>
          <w:szCs w:val="32"/>
          <w14:textFill>
            <w14:solidFill>
              <w14:schemeClr w14:val="tx1"/>
            </w14:solidFill>
          </w14:textFill>
        </w:rPr>
      </w:pPr>
      <w:r>
        <w:rPr>
          <w:rFonts w:hint="eastAsia" w:ascii="黑体" w:hAnsi="黑体" w:eastAsia="黑体" w:cs="黑体"/>
          <w:color w:val="000000" w:themeColor="text1"/>
          <w:sz w:val="32"/>
          <w:szCs w:val="32"/>
          <w14:textFill>
            <w14:solidFill>
              <w14:schemeClr w14:val="tx1"/>
            </w14:solidFill>
          </w14:textFill>
        </w:rPr>
        <w:t>五、评价结论及建议</w:t>
      </w:r>
    </w:p>
    <w:p w14:paraId="21971A4A">
      <w:pPr>
        <w:keepNext w:val="0"/>
        <w:keepLines w:val="0"/>
        <w:pageBreakBefore w:val="0"/>
        <w:widowControl w:val="0"/>
        <w:kinsoku/>
        <w:wordWrap/>
        <w:overflowPunct/>
        <w:topLinePunct w:val="0"/>
        <w:autoSpaceDE/>
        <w:autoSpaceDN/>
        <w:bidi w:val="0"/>
        <w:adjustRightInd w:val="0"/>
        <w:snapToGrid w:val="0"/>
        <w:spacing w:line="600" w:lineRule="exact"/>
        <w:ind w:firstLine="643" w:firstLineChars="200"/>
        <w:textAlignment w:val="auto"/>
        <w:rPr>
          <w:rFonts w:hint="eastAsia" w:eastAsia="楷体_GB2312" w:cs="楷体_GB2312"/>
          <w:b/>
          <w:color w:val="000000" w:themeColor="text1"/>
          <w:sz w:val="32"/>
          <w:szCs w:val="32"/>
          <w:lang w:val="zh-CN"/>
          <w14:textFill>
            <w14:solidFill>
              <w14:schemeClr w14:val="tx1"/>
            </w14:solidFill>
          </w14:textFill>
        </w:rPr>
      </w:pPr>
      <w:r>
        <w:rPr>
          <w:rFonts w:hint="eastAsia" w:eastAsia="楷体_GB2312" w:cs="楷体_GB2312"/>
          <w:b/>
          <w:color w:val="000000" w:themeColor="text1"/>
          <w:sz w:val="32"/>
          <w:szCs w:val="32"/>
          <w:lang w:val="zh-CN"/>
          <w14:textFill>
            <w14:solidFill>
              <w14:schemeClr w14:val="tx1"/>
            </w14:solidFill>
          </w14:textFill>
        </w:rPr>
        <w:t>（一）评价结论</w:t>
      </w:r>
    </w:p>
    <w:p w14:paraId="514C4EB5">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eastAsia" w:ascii="Times New Roman" w:hAnsi="Times New Roman" w:eastAsia="仿宋_GB2312" w:cs="仿宋_GB2312"/>
          <w:color w:val="000000" w:themeColor="text1"/>
          <w:kern w:val="0"/>
          <w:sz w:val="32"/>
          <w:szCs w:val="32"/>
          <w:lang w:val="zh-CN"/>
          <w14:textFill>
            <w14:solidFill>
              <w14:schemeClr w14:val="tx1"/>
            </w14:solidFill>
          </w14:textFill>
        </w:rPr>
      </w:pPr>
      <w:r>
        <w:rPr>
          <w:rFonts w:hint="eastAsia" w:ascii="Times New Roman" w:hAnsi="Times New Roman" w:eastAsia="仿宋_GB2312" w:cs="仿宋_GB2312"/>
          <w:color w:val="000000" w:themeColor="text1"/>
          <w:sz w:val="32"/>
          <w:szCs w:val="32"/>
          <w:lang w:val="zh-CN"/>
          <w14:textFill>
            <w14:solidFill>
              <w14:schemeClr w14:val="tx1"/>
            </w14:solidFill>
          </w14:textFill>
        </w:rPr>
        <w:t>该项目管理合理，管理程序等合法合规，项目自评评分为</w:t>
      </w:r>
      <w:r>
        <w:rPr>
          <w:rFonts w:hint="eastAsia" w:ascii="Times New Roman" w:hAnsi="Times New Roman" w:eastAsia="仿宋_GB2312" w:cs="仿宋_GB2312"/>
          <w:color w:val="000000" w:themeColor="text1"/>
          <w:sz w:val="32"/>
          <w:szCs w:val="32"/>
          <w14:textFill>
            <w14:solidFill>
              <w14:schemeClr w14:val="tx1"/>
            </w14:solidFill>
          </w14:textFill>
        </w:rPr>
        <w:t>100分，项目完成度100%，项目经济效益、社会效益、质量、时效等符合预期</w:t>
      </w:r>
      <w:r>
        <w:rPr>
          <w:rFonts w:hint="eastAsia" w:ascii="Times New Roman" w:hAnsi="Times New Roman" w:eastAsia="仿宋_GB2312" w:cs="仿宋_GB2312"/>
          <w:color w:val="000000" w:themeColor="text1"/>
          <w:sz w:val="32"/>
          <w:szCs w:val="32"/>
          <w:lang w:val="zh-CN"/>
          <w14:textFill>
            <w14:solidFill>
              <w14:schemeClr w14:val="tx1"/>
            </w14:solidFill>
          </w14:textFill>
        </w:rPr>
        <w:t>。为攀枝花市粮食质量的安全监测提供了保障。</w:t>
      </w:r>
    </w:p>
    <w:p w14:paraId="744038EF">
      <w:pPr>
        <w:keepNext w:val="0"/>
        <w:keepLines w:val="0"/>
        <w:pageBreakBefore w:val="0"/>
        <w:widowControl w:val="0"/>
        <w:kinsoku/>
        <w:wordWrap/>
        <w:overflowPunct/>
        <w:topLinePunct w:val="0"/>
        <w:autoSpaceDE/>
        <w:autoSpaceDN/>
        <w:bidi w:val="0"/>
        <w:adjustRightInd w:val="0"/>
        <w:snapToGrid w:val="0"/>
        <w:spacing w:line="600" w:lineRule="exact"/>
        <w:ind w:firstLine="643" w:firstLineChars="200"/>
        <w:textAlignment w:val="auto"/>
        <w:rPr>
          <w:rFonts w:hint="eastAsia" w:eastAsia="楷体_GB2312" w:cs="楷体_GB2312"/>
          <w:b/>
          <w:color w:val="000000" w:themeColor="text1"/>
          <w:sz w:val="32"/>
          <w:szCs w:val="32"/>
          <w:lang w:val="zh-CN"/>
          <w14:textFill>
            <w14:solidFill>
              <w14:schemeClr w14:val="tx1"/>
            </w14:solidFill>
          </w14:textFill>
        </w:rPr>
      </w:pPr>
      <w:r>
        <w:rPr>
          <w:rFonts w:hint="eastAsia" w:eastAsia="楷体_GB2312" w:cs="楷体_GB2312"/>
          <w:b/>
          <w:color w:val="000000" w:themeColor="text1"/>
          <w:sz w:val="32"/>
          <w:szCs w:val="32"/>
          <w:lang w:val="zh-CN"/>
          <w14:textFill>
            <w14:solidFill>
              <w14:schemeClr w14:val="tx1"/>
            </w14:solidFill>
          </w14:textFill>
        </w:rPr>
        <w:t>（二）存在的问题</w:t>
      </w:r>
    </w:p>
    <w:p w14:paraId="739E8BAE">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eastAsia" w:ascii="Times New Roman" w:hAnsi="Times New Roman" w:eastAsia="仿宋_GB2312" w:cs="仿宋_GB2312"/>
          <w:color w:val="000000" w:themeColor="text1"/>
          <w:kern w:val="0"/>
          <w:sz w:val="32"/>
          <w:szCs w:val="32"/>
          <w:lang w:val="zh-CN"/>
          <w14:textFill>
            <w14:solidFill>
              <w14:schemeClr w14:val="tx1"/>
            </w14:solidFill>
          </w14:textFill>
        </w:rPr>
      </w:pPr>
      <w:r>
        <w:rPr>
          <w:rFonts w:hint="eastAsia" w:ascii="Times New Roman" w:hAnsi="Times New Roman" w:eastAsia="仿宋_GB2312" w:cs="仿宋_GB2312"/>
          <w:color w:val="000000" w:themeColor="text1"/>
          <w:sz w:val="32"/>
          <w:szCs w:val="32"/>
          <w:lang w:val="zh-CN"/>
          <w14:textFill>
            <w14:solidFill>
              <w14:schemeClr w14:val="tx1"/>
            </w14:solidFill>
          </w14:textFill>
        </w:rPr>
        <w:t>经全面梳理核查，本次项目在立项、实施、资金使用、管理及绩效目标完成等各个环节，均严格遵循相关规定和要求，流程规范、管控到位，未发现存在问题。</w:t>
      </w:r>
    </w:p>
    <w:p w14:paraId="14C02FAD">
      <w:pPr>
        <w:keepNext w:val="0"/>
        <w:keepLines w:val="0"/>
        <w:pageBreakBefore w:val="0"/>
        <w:widowControl w:val="0"/>
        <w:kinsoku/>
        <w:wordWrap/>
        <w:overflowPunct/>
        <w:topLinePunct w:val="0"/>
        <w:autoSpaceDE/>
        <w:autoSpaceDN/>
        <w:bidi w:val="0"/>
        <w:adjustRightInd w:val="0"/>
        <w:snapToGrid w:val="0"/>
        <w:spacing w:line="600" w:lineRule="exact"/>
        <w:ind w:firstLine="643" w:firstLineChars="200"/>
        <w:textAlignment w:val="auto"/>
        <w:rPr>
          <w:rFonts w:hint="eastAsia" w:eastAsia="楷体_GB2312" w:cs="楷体_GB2312"/>
          <w:b/>
          <w:color w:val="000000" w:themeColor="text1"/>
          <w:sz w:val="32"/>
          <w:szCs w:val="32"/>
          <w:lang w:val="zh-CN"/>
          <w14:textFill>
            <w14:solidFill>
              <w14:schemeClr w14:val="tx1"/>
            </w14:solidFill>
          </w14:textFill>
        </w:rPr>
      </w:pPr>
      <w:r>
        <w:rPr>
          <w:rFonts w:hint="eastAsia" w:eastAsia="楷体_GB2312" w:cs="楷体_GB2312"/>
          <w:b/>
          <w:color w:val="000000" w:themeColor="text1"/>
          <w:sz w:val="32"/>
          <w:szCs w:val="32"/>
          <w:lang w:val="zh-CN"/>
          <w14:textFill>
            <w14:solidFill>
              <w14:schemeClr w14:val="tx1"/>
            </w14:solidFill>
          </w14:textFill>
        </w:rPr>
        <w:t>（三）相关建议</w:t>
      </w:r>
    </w:p>
    <w:p w14:paraId="56DADB5F">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eastAsia" w:ascii="Times New Roman" w:hAnsi="Times New Roman" w:eastAsia="仿宋_GB2312" w:cs="仿宋_GB2312"/>
          <w:color w:val="000000" w:themeColor="text1"/>
          <w:sz w:val="32"/>
          <w:szCs w:val="32"/>
          <w:lang w:val="zh-CN"/>
          <w14:textFill>
            <w14:solidFill>
              <w14:schemeClr w14:val="tx1"/>
            </w14:solidFill>
          </w14:textFill>
        </w:rPr>
      </w:pPr>
      <w:r>
        <w:rPr>
          <w:rFonts w:hint="eastAsia" w:ascii="Times New Roman" w:hAnsi="Times New Roman" w:eastAsia="仿宋_GB2312" w:cs="仿宋_GB2312"/>
          <w:color w:val="000000" w:themeColor="text1"/>
          <w:sz w:val="32"/>
          <w:szCs w:val="32"/>
          <w:lang w:val="zh-CN"/>
          <w14:textFill>
            <w14:solidFill>
              <w14:schemeClr w14:val="tx1"/>
            </w14:solidFill>
          </w14:textFill>
        </w:rPr>
        <w:t>结合项目实施成效及实验室长远运行需求，无针对性改进建议。后续，项目实施单位将持续加强实验室仪器设备的日常维护、保养及管理，督促供应商做好售后服务工作，确保设备长期稳定运行。</w:t>
      </w:r>
    </w:p>
    <w:p w14:paraId="0855145A">
      <w:pPr>
        <w:keepNext w:val="0"/>
        <w:keepLines w:val="0"/>
        <w:pageBreakBefore w:val="0"/>
        <w:widowControl w:val="0"/>
        <w:kinsoku/>
        <w:wordWrap/>
        <w:overflowPunct/>
        <w:topLinePunct w:val="0"/>
        <w:autoSpaceDE/>
        <w:autoSpaceDN/>
        <w:bidi w:val="0"/>
        <w:spacing w:line="600" w:lineRule="exact"/>
        <w:ind w:firstLine="640" w:firstLineChars="200"/>
        <w:textAlignment w:val="auto"/>
        <w:rPr>
          <w:rFonts w:hint="eastAsia" w:ascii="Times New Roman" w:hAnsi="Times New Roman" w:eastAsia="仿宋_GB2312" w:cs="仿宋_GB2312"/>
          <w:color w:val="000000" w:themeColor="text1"/>
          <w:sz w:val="32"/>
          <w:szCs w:val="32"/>
          <w:lang w:val="zh-CN"/>
          <w14:textFill>
            <w14:solidFill>
              <w14:schemeClr w14:val="tx1"/>
            </w14:solidFill>
          </w14:textFill>
        </w:rPr>
      </w:pPr>
      <w:r>
        <w:rPr>
          <w:rFonts w:hint="eastAsia" w:ascii="Times New Roman" w:hAnsi="Times New Roman" w:eastAsia="仿宋_GB2312" w:cs="仿宋_GB2312"/>
          <w:color w:val="000000" w:themeColor="text1"/>
          <w:sz w:val="32"/>
          <w:szCs w:val="32"/>
          <w:lang w:val="zh-CN"/>
          <w14:textFill>
            <w14:solidFill>
              <w14:schemeClr w14:val="tx1"/>
            </w14:solidFill>
          </w14:textFill>
        </w:rPr>
        <w:br w:type="page"/>
      </w:r>
    </w:p>
    <w:p w14:paraId="3E6212B3">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eastAsia="方正小标宋简体"/>
          <w:color w:val="000000" w:themeColor="text1"/>
          <w:sz w:val="44"/>
          <w:szCs w:val="44"/>
          <w14:textFill>
            <w14:solidFill>
              <w14:schemeClr w14:val="tx1"/>
            </w14:solidFill>
          </w14:textFill>
        </w:rPr>
      </w:pPr>
      <w:r>
        <w:rPr>
          <w:rFonts w:eastAsia="方正小标宋简体"/>
          <w:color w:val="000000" w:themeColor="text1"/>
          <w:sz w:val="44"/>
          <w:szCs w:val="44"/>
          <w14:textFill>
            <w14:solidFill>
              <w14:schemeClr w14:val="tx1"/>
            </w14:solidFill>
          </w14:textFill>
        </w:rPr>
        <w:t>攀枝花市政务信息共享交换平台升级改造项目（新增政务数据直达专区功能）专项</w:t>
      </w:r>
    </w:p>
    <w:p w14:paraId="7BC5F255">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eastAsia="方正小标宋简体"/>
          <w:color w:val="000000" w:themeColor="text1"/>
          <w:sz w:val="44"/>
          <w:szCs w:val="44"/>
          <w14:textFill>
            <w14:solidFill>
              <w14:schemeClr w14:val="tx1"/>
            </w14:solidFill>
          </w14:textFill>
        </w:rPr>
      </w:pPr>
      <w:r>
        <w:rPr>
          <w:rFonts w:eastAsia="方正小标宋简体"/>
          <w:color w:val="000000" w:themeColor="text1"/>
          <w:sz w:val="44"/>
          <w:szCs w:val="44"/>
          <w14:textFill>
            <w14:solidFill>
              <w14:schemeClr w14:val="tx1"/>
            </w14:solidFill>
          </w14:textFill>
        </w:rPr>
        <w:t>预算项目支出绩效自评报告</w:t>
      </w:r>
    </w:p>
    <w:p w14:paraId="2F42D683">
      <w:pPr>
        <w:spacing w:line="0" w:lineRule="atLeast"/>
        <w:jc w:val="center"/>
        <w:rPr>
          <w:rFonts w:eastAsia="方正小标宋简体"/>
          <w:color w:val="000000" w:themeColor="text1"/>
          <w:sz w:val="44"/>
          <w:szCs w:val="44"/>
          <w14:textFill>
            <w14:solidFill>
              <w14:schemeClr w14:val="tx1"/>
            </w14:solidFill>
          </w14:textFill>
        </w:rPr>
      </w:pPr>
    </w:p>
    <w:p w14:paraId="29281D85">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黑体" w:hAnsi="黑体" w:eastAsia="黑体" w:cs="黑体"/>
          <w:color w:val="000000" w:themeColor="text1"/>
          <w:sz w:val="32"/>
          <w:szCs w:val="32"/>
          <w:lang w:val="zh-CN"/>
          <w14:textFill>
            <w14:solidFill>
              <w14:schemeClr w14:val="tx1"/>
            </w14:solidFill>
          </w14:textFill>
        </w:rPr>
      </w:pPr>
      <w:r>
        <w:rPr>
          <w:rFonts w:hint="eastAsia" w:ascii="黑体" w:hAnsi="黑体" w:eastAsia="黑体" w:cs="黑体"/>
          <w:color w:val="000000" w:themeColor="text1"/>
          <w:sz w:val="32"/>
          <w:szCs w:val="32"/>
          <w14:textFill>
            <w14:solidFill>
              <w14:schemeClr w14:val="tx1"/>
            </w14:solidFill>
          </w14:textFill>
        </w:rPr>
        <w:t>一、</w:t>
      </w:r>
      <w:r>
        <w:rPr>
          <w:rFonts w:hint="eastAsia" w:ascii="黑体" w:hAnsi="黑体" w:eastAsia="黑体" w:cs="黑体"/>
          <w:color w:val="000000" w:themeColor="text1"/>
          <w:sz w:val="32"/>
          <w:szCs w:val="32"/>
          <w:lang w:val="zh-CN"/>
          <w14:textFill>
            <w14:solidFill>
              <w14:schemeClr w14:val="tx1"/>
            </w14:solidFill>
          </w14:textFill>
        </w:rPr>
        <w:t>项目概况</w:t>
      </w:r>
    </w:p>
    <w:p w14:paraId="3EFD16FF">
      <w:pPr>
        <w:keepNext w:val="0"/>
        <w:keepLines w:val="0"/>
        <w:pageBreakBefore w:val="0"/>
        <w:widowControl w:val="0"/>
        <w:kinsoku/>
        <w:wordWrap/>
        <w:overflowPunct/>
        <w:topLinePunct w:val="0"/>
        <w:autoSpaceDE/>
        <w:autoSpaceDN/>
        <w:bidi w:val="0"/>
        <w:adjustRightInd w:val="0"/>
        <w:snapToGrid w:val="0"/>
        <w:spacing w:line="600" w:lineRule="exact"/>
        <w:ind w:firstLine="643" w:firstLineChars="200"/>
        <w:textAlignment w:val="auto"/>
        <w:rPr>
          <w:rFonts w:hint="eastAsia" w:eastAsia="楷体_GB2312" w:cs="楷体_GB2312"/>
          <w:b/>
          <w:color w:val="000000" w:themeColor="text1"/>
          <w:sz w:val="32"/>
          <w:szCs w:val="32"/>
          <w:lang w:val="zh-CN"/>
          <w14:textFill>
            <w14:solidFill>
              <w14:schemeClr w14:val="tx1"/>
            </w14:solidFill>
          </w14:textFill>
        </w:rPr>
      </w:pPr>
      <w:r>
        <w:rPr>
          <w:rFonts w:hint="eastAsia" w:eastAsia="楷体_GB2312" w:cs="楷体_GB2312"/>
          <w:b/>
          <w:color w:val="000000" w:themeColor="text1"/>
          <w:sz w:val="32"/>
          <w:szCs w:val="32"/>
          <w:lang w:val="zh-CN"/>
          <w14:textFill>
            <w14:solidFill>
              <w14:schemeClr w14:val="tx1"/>
            </w14:solidFill>
          </w14:textFill>
        </w:rPr>
        <w:t>（一）项目基本情况</w:t>
      </w:r>
    </w:p>
    <w:p w14:paraId="754F94BA">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仿宋_GB2312"/>
          <w:color w:val="000000" w:themeColor="text1"/>
          <w:sz w:val="32"/>
          <w:szCs w:val="32"/>
          <w:lang w:val="zh-CN"/>
          <w14:textFill>
            <w14:solidFill>
              <w14:schemeClr w14:val="tx1"/>
            </w14:solidFill>
          </w14:textFill>
        </w:rPr>
      </w:pPr>
      <w:r>
        <w:rPr>
          <w:rFonts w:hint="eastAsia" w:ascii="Times New Roman" w:hAnsi="Times New Roman" w:eastAsia="仿宋_GB2312" w:cs="仿宋_GB2312"/>
          <w:color w:val="000000" w:themeColor="text1"/>
          <w:sz w:val="32"/>
          <w:szCs w:val="32"/>
          <w:lang w:val="zh-CN"/>
          <w14:textFill>
            <w14:solidFill>
              <w14:schemeClr w14:val="tx1"/>
            </w14:solidFill>
          </w14:textFill>
        </w:rPr>
        <w:t>1.</w:t>
      </w:r>
      <w:r>
        <w:rPr>
          <w:rFonts w:hint="eastAsia" w:ascii="Times New Roman" w:hAnsi="Times New Roman" w:eastAsia="仿宋_GB2312" w:cs="仿宋_GB2312"/>
          <w:color w:val="000000" w:themeColor="text1"/>
          <w:sz w:val="32"/>
          <w:szCs w:val="32"/>
          <w14:textFill>
            <w14:solidFill>
              <w14:schemeClr w14:val="tx1"/>
            </w14:solidFill>
          </w14:textFill>
        </w:rPr>
        <w:t>市发展改革委（数据局）负责组织协调攀枝花市政务信息共享交换平台升级改造项目（新增政务数据直达专区功能）的实施。</w:t>
      </w:r>
    </w:p>
    <w:p w14:paraId="42B45DE7">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仿宋_GB2312"/>
          <w:color w:val="000000" w:themeColor="text1"/>
          <w:sz w:val="32"/>
          <w:szCs w:val="32"/>
          <w:lang w:val="zh-CN"/>
          <w14:textFill>
            <w14:solidFill>
              <w14:schemeClr w14:val="tx1"/>
            </w14:solidFill>
          </w14:textFill>
        </w:rPr>
      </w:pPr>
      <w:r>
        <w:rPr>
          <w:rFonts w:hint="eastAsia" w:ascii="Times New Roman" w:hAnsi="Times New Roman" w:eastAsia="仿宋_GB2312" w:cs="仿宋_GB2312"/>
          <w:color w:val="000000" w:themeColor="text1"/>
          <w:sz w:val="32"/>
          <w:szCs w:val="32"/>
          <w:lang w:val="zh-CN"/>
          <w14:textFill>
            <w14:solidFill>
              <w14:schemeClr w14:val="tx1"/>
            </w14:solidFill>
          </w14:textFill>
        </w:rPr>
        <w:t>2.依据《四川省人民政府办公厅关于印发〈四川省推动政务数据直达基层更好支撑“高效办成一件事”工作方案〉的通知》（川办函〔2024〕49号）文件要求，本项目立项并申报资金。</w:t>
      </w:r>
    </w:p>
    <w:p w14:paraId="22EB5F21">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仿宋_GB2312"/>
          <w:color w:val="000000" w:themeColor="text1"/>
          <w:sz w:val="32"/>
          <w:szCs w:val="32"/>
          <w:lang w:val="zh-CN"/>
          <w14:textFill>
            <w14:solidFill>
              <w14:schemeClr w14:val="tx1"/>
            </w14:solidFill>
          </w14:textFill>
        </w:rPr>
      </w:pPr>
      <w:r>
        <w:rPr>
          <w:rFonts w:hint="eastAsia" w:ascii="Times New Roman" w:hAnsi="Times New Roman" w:eastAsia="仿宋_GB2312" w:cs="仿宋_GB2312"/>
          <w:color w:val="000000" w:themeColor="text1"/>
          <w:sz w:val="32"/>
          <w:szCs w:val="32"/>
          <w:lang w:val="zh-CN"/>
          <w14:textFill>
            <w14:solidFill>
              <w14:schemeClr w14:val="tx1"/>
            </w14:solidFill>
          </w14:textFill>
        </w:rPr>
        <w:t>3.资金管理遵循市级政府服务采购相关规定，确保资金仅用于支付本项目实施过程中的相关费用</w:t>
      </w:r>
    </w:p>
    <w:p w14:paraId="34D1E88C">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仿宋_GB2312"/>
          <w:color w:val="000000" w:themeColor="text1"/>
          <w:sz w:val="32"/>
          <w:szCs w:val="32"/>
          <w:lang w:val="zh-CN"/>
          <w14:textFill>
            <w14:solidFill>
              <w14:schemeClr w14:val="tx1"/>
            </w14:solidFill>
          </w14:textFill>
        </w:rPr>
      </w:pPr>
      <w:r>
        <w:rPr>
          <w:rFonts w:hint="eastAsia" w:ascii="Times New Roman" w:hAnsi="Times New Roman" w:eastAsia="仿宋_GB2312" w:cs="仿宋_GB2312"/>
          <w:color w:val="000000" w:themeColor="text1"/>
          <w:sz w:val="32"/>
          <w:szCs w:val="32"/>
          <w:lang w:val="zh-CN"/>
          <w14:textFill>
            <w14:solidFill>
              <w14:schemeClr w14:val="tx1"/>
            </w14:solidFill>
          </w14:textFill>
        </w:rPr>
        <w:t>4.资金支付严格按照项目进度进行。</w:t>
      </w:r>
    </w:p>
    <w:p w14:paraId="0F402787">
      <w:pPr>
        <w:keepNext w:val="0"/>
        <w:keepLines w:val="0"/>
        <w:pageBreakBefore w:val="0"/>
        <w:widowControl w:val="0"/>
        <w:kinsoku/>
        <w:wordWrap/>
        <w:overflowPunct/>
        <w:topLinePunct w:val="0"/>
        <w:autoSpaceDE/>
        <w:autoSpaceDN/>
        <w:bidi w:val="0"/>
        <w:adjustRightInd w:val="0"/>
        <w:snapToGrid w:val="0"/>
        <w:spacing w:line="600" w:lineRule="exact"/>
        <w:ind w:firstLine="643" w:firstLineChars="200"/>
        <w:textAlignment w:val="auto"/>
        <w:rPr>
          <w:rFonts w:hint="eastAsia" w:eastAsia="楷体_GB2312" w:cs="楷体_GB2312"/>
          <w:b/>
          <w:color w:val="000000" w:themeColor="text1"/>
          <w:sz w:val="32"/>
          <w:szCs w:val="32"/>
          <w:lang w:val="zh-CN"/>
          <w14:textFill>
            <w14:solidFill>
              <w14:schemeClr w14:val="tx1"/>
            </w14:solidFill>
          </w14:textFill>
        </w:rPr>
      </w:pPr>
      <w:r>
        <w:rPr>
          <w:rFonts w:hint="eastAsia" w:eastAsia="楷体_GB2312" w:cs="楷体_GB2312"/>
          <w:b/>
          <w:color w:val="000000" w:themeColor="text1"/>
          <w:sz w:val="32"/>
          <w:szCs w:val="32"/>
          <w:lang w:val="zh-CN"/>
          <w14:textFill>
            <w14:solidFill>
              <w14:schemeClr w14:val="tx1"/>
            </w14:solidFill>
          </w14:textFill>
        </w:rPr>
        <w:t>（二）项目绩效目标</w:t>
      </w:r>
    </w:p>
    <w:p w14:paraId="304379D4">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仿宋_GB2312"/>
          <w:color w:val="000000" w:themeColor="text1"/>
          <w:sz w:val="32"/>
          <w:szCs w:val="32"/>
          <w14:textFill>
            <w14:solidFill>
              <w14:schemeClr w14:val="tx1"/>
            </w14:solidFill>
          </w14:textFill>
        </w:rPr>
      </w:pPr>
      <w:r>
        <w:rPr>
          <w:rFonts w:hint="eastAsia" w:ascii="Times New Roman" w:hAnsi="Times New Roman" w:eastAsia="仿宋_GB2312" w:cs="仿宋_GB2312"/>
          <w:color w:val="000000" w:themeColor="text1"/>
          <w:sz w:val="32"/>
          <w:szCs w:val="32"/>
          <w:lang w:val="zh-CN"/>
          <w14:textFill>
            <w14:solidFill>
              <w14:schemeClr w14:val="tx1"/>
            </w14:solidFill>
          </w14:textFill>
        </w:rPr>
        <w:t>1.</w:t>
      </w:r>
      <w:r>
        <w:rPr>
          <w:rFonts w:hint="eastAsia" w:ascii="Times New Roman" w:hAnsi="Times New Roman" w:eastAsia="仿宋_GB2312" w:cs="仿宋_GB2312"/>
          <w:color w:val="000000" w:themeColor="text1"/>
          <w:sz w:val="32"/>
          <w:szCs w:val="32"/>
          <w14:textFill>
            <w14:solidFill>
              <w14:schemeClr w14:val="tx1"/>
            </w14:solidFill>
          </w14:textFill>
        </w:rPr>
        <w:t>根据川办函〔2024〕49号文件要求，对攀枝花市政务信息共享交换平台进行升级改造，并新增政务数据直达专区功能。</w:t>
      </w:r>
    </w:p>
    <w:p w14:paraId="5480598E">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仿宋_GB2312"/>
          <w:color w:val="000000" w:themeColor="text1"/>
          <w:sz w:val="32"/>
          <w:szCs w:val="32"/>
          <w:lang w:val="zh-CN"/>
          <w14:textFill>
            <w14:solidFill>
              <w14:schemeClr w14:val="tx1"/>
            </w14:solidFill>
          </w14:textFill>
        </w:rPr>
      </w:pPr>
      <w:r>
        <w:rPr>
          <w:rFonts w:hint="eastAsia" w:ascii="Times New Roman" w:hAnsi="Times New Roman" w:eastAsia="仿宋_GB2312" w:cs="仿宋_GB2312"/>
          <w:color w:val="000000" w:themeColor="text1"/>
          <w:sz w:val="32"/>
          <w:szCs w:val="32"/>
          <w:lang w:val="zh-CN"/>
          <w14:textFill>
            <w14:solidFill>
              <w14:schemeClr w14:val="tx1"/>
            </w14:solidFill>
          </w14:textFill>
        </w:rPr>
        <w:t>2.确保在2025年底前完成项目，实现政务数据直达基层的目标。</w:t>
      </w:r>
    </w:p>
    <w:p w14:paraId="518E114A">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仿宋_GB2312"/>
          <w:color w:val="000000" w:themeColor="text1"/>
          <w:sz w:val="32"/>
          <w:szCs w:val="32"/>
          <w:lang w:val="zh-CN"/>
          <w14:textFill>
            <w14:solidFill>
              <w14:schemeClr w14:val="tx1"/>
            </w14:solidFill>
          </w14:textFill>
        </w:rPr>
      </w:pPr>
      <w:r>
        <w:rPr>
          <w:rFonts w:hint="eastAsia" w:ascii="Times New Roman" w:hAnsi="Times New Roman" w:eastAsia="仿宋_GB2312" w:cs="仿宋_GB2312"/>
          <w:color w:val="000000" w:themeColor="text1"/>
          <w:sz w:val="32"/>
          <w:szCs w:val="32"/>
          <w:lang w:val="zh-CN"/>
          <w14:textFill>
            <w14:solidFill>
              <w14:schemeClr w14:val="tx1"/>
            </w14:solidFill>
          </w14:textFill>
        </w:rPr>
        <w:t>3.通过在现有平台上新增功能的方式，快速有效地实现政务数据直达基层的目标。</w:t>
      </w:r>
    </w:p>
    <w:p w14:paraId="4C400FEE">
      <w:pPr>
        <w:keepNext w:val="0"/>
        <w:keepLines w:val="0"/>
        <w:pageBreakBefore w:val="0"/>
        <w:widowControl w:val="0"/>
        <w:kinsoku/>
        <w:wordWrap/>
        <w:overflowPunct/>
        <w:topLinePunct w:val="0"/>
        <w:autoSpaceDE/>
        <w:autoSpaceDN/>
        <w:bidi w:val="0"/>
        <w:adjustRightInd w:val="0"/>
        <w:snapToGrid w:val="0"/>
        <w:spacing w:line="600" w:lineRule="exact"/>
        <w:ind w:firstLine="643" w:firstLineChars="200"/>
        <w:textAlignment w:val="auto"/>
        <w:rPr>
          <w:rFonts w:hint="eastAsia" w:eastAsia="楷体_GB2312" w:cs="楷体_GB2312"/>
          <w:b/>
          <w:color w:val="000000" w:themeColor="text1"/>
          <w:sz w:val="32"/>
          <w:szCs w:val="32"/>
          <w:lang w:val="zh-CN"/>
          <w14:textFill>
            <w14:solidFill>
              <w14:schemeClr w14:val="tx1"/>
            </w14:solidFill>
          </w14:textFill>
        </w:rPr>
      </w:pPr>
      <w:r>
        <w:rPr>
          <w:rFonts w:hint="eastAsia" w:eastAsia="楷体_GB2312" w:cs="楷体_GB2312"/>
          <w:b/>
          <w:color w:val="000000" w:themeColor="text1"/>
          <w:sz w:val="32"/>
          <w:szCs w:val="32"/>
          <w:lang w:val="zh-CN"/>
          <w14:textFill>
            <w14:solidFill>
              <w14:schemeClr w14:val="tx1"/>
            </w14:solidFill>
          </w14:textFill>
        </w:rPr>
        <w:t>（三）项目自评步骤及方法</w:t>
      </w:r>
    </w:p>
    <w:p w14:paraId="0459975A">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仿宋_GB2312"/>
          <w:color w:val="000000" w:themeColor="text1"/>
          <w:sz w:val="32"/>
          <w:szCs w:val="32"/>
          <w:lang w:val="zh-CN"/>
          <w14:textFill>
            <w14:solidFill>
              <w14:schemeClr w14:val="tx1"/>
            </w14:solidFill>
          </w14:textFill>
        </w:rPr>
      </w:pPr>
      <w:r>
        <w:rPr>
          <w:rFonts w:hint="eastAsia" w:ascii="Times New Roman" w:hAnsi="Times New Roman" w:eastAsia="仿宋_GB2312" w:cs="仿宋_GB2312"/>
          <w:color w:val="000000" w:themeColor="text1"/>
          <w:sz w:val="32"/>
          <w:szCs w:val="32"/>
          <w:lang w:val="zh-CN"/>
          <w14:textFill>
            <w14:solidFill>
              <w14:schemeClr w14:val="tx1"/>
            </w14:solidFill>
          </w14:textFill>
        </w:rPr>
        <w:t>梳理</w:t>
      </w:r>
      <w:r>
        <w:rPr>
          <w:rFonts w:hint="eastAsia" w:ascii="Times New Roman" w:hAnsi="Times New Roman" w:eastAsia="仿宋_GB2312" w:cs="仿宋_GB2312"/>
          <w:color w:val="000000" w:themeColor="text1"/>
          <w:sz w:val="32"/>
          <w:szCs w:val="32"/>
          <w14:textFill>
            <w14:solidFill>
              <w14:schemeClr w14:val="tx1"/>
            </w14:solidFill>
          </w14:textFill>
        </w:rPr>
        <w:t>2025</w:t>
      </w:r>
      <w:r>
        <w:rPr>
          <w:rFonts w:hint="eastAsia" w:ascii="Times New Roman" w:hAnsi="Times New Roman" w:eastAsia="仿宋_GB2312" w:cs="仿宋_GB2312"/>
          <w:color w:val="000000" w:themeColor="text1"/>
          <w:sz w:val="32"/>
          <w:szCs w:val="32"/>
          <w:lang w:val="zh-CN"/>
          <w14:textFill>
            <w14:solidFill>
              <w14:schemeClr w14:val="tx1"/>
            </w14:solidFill>
          </w14:textFill>
        </w:rPr>
        <w:t>年攀枝花市政务信息共享交换平台升级改造项目（新增政务数据直达专区功能）专项预算项目支出绩效自评工作，</w:t>
      </w:r>
      <w:r>
        <w:rPr>
          <w:rFonts w:hint="eastAsia" w:ascii="Times New Roman" w:hAnsi="Times New Roman" w:eastAsia="仿宋_GB2312" w:cs="仿宋_GB2312"/>
          <w:color w:val="000000" w:themeColor="text1"/>
          <w:sz w:val="32"/>
          <w:szCs w:val="32"/>
          <w14:textFill>
            <w14:solidFill>
              <w14:schemeClr w14:val="tx1"/>
            </w14:solidFill>
          </w14:textFill>
        </w:rPr>
        <w:t>并</w:t>
      </w:r>
      <w:r>
        <w:rPr>
          <w:rFonts w:hint="eastAsia" w:ascii="Times New Roman" w:hAnsi="Times New Roman" w:eastAsia="仿宋_GB2312" w:cs="仿宋_GB2312"/>
          <w:color w:val="000000" w:themeColor="text1"/>
          <w:sz w:val="32"/>
          <w:szCs w:val="32"/>
          <w:lang w:val="zh-CN"/>
          <w14:textFill>
            <w14:solidFill>
              <w14:schemeClr w14:val="tx1"/>
            </w14:solidFill>
          </w14:textFill>
        </w:rPr>
        <w:t>进行自评打分（自评打分：</w:t>
      </w:r>
      <w:r>
        <w:rPr>
          <w:rFonts w:hint="eastAsia" w:ascii="Times New Roman" w:hAnsi="Times New Roman" w:eastAsia="仿宋_GB2312" w:cs="仿宋_GB2312"/>
          <w:color w:val="000000" w:themeColor="text1"/>
          <w:sz w:val="32"/>
          <w:szCs w:val="32"/>
          <w14:textFill>
            <w14:solidFill>
              <w14:schemeClr w14:val="tx1"/>
            </w14:solidFill>
          </w14:textFill>
        </w:rPr>
        <w:t>90分</w:t>
      </w:r>
      <w:r>
        <w:rPr>
          <w:rFonts w:hint="eastAsia" w:ascii="Times New Roman" w:hAnsi="Times New Roman" w:eastAsia="仿宋_GB2312" w:cs="仿宋_GB2312"/>
          <w:color w:val="000000" w:themeColor="text1"/>
          <w:sz w:val="32"/>
          <w:szCs w:val="32"/>
          <w:lang w:val="zh-CN"/>
          <w14:textFill>
            <w14:solidFill>
              <w14:schemeClr w14:val="tx1"/>
            </w14:solidFill>
          </w14:textFill>
        </w:rPr>
        <w:t>）。</w:t>
      </w:r>
    </w:p>
    <w:p w14:paraId="0CC89AF8">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黑体" w:hAnsi="黑体" w:eastAsia="黑体" w:cs="黑体"/>
          <w:color w:val="000000" w:themeColor="text1"/>
          <w:sz w:val="32"/>
          <w:szCs w:val="32"/>
          <w14:textFill>
            <w14:solidFill>
              <w14:schemeClr w14:val="tx1"/>
            </w14:solidFill>
          </w14:textFill>
        </w:rPr>
      </w:pPr>
      <w:r>
        <w:rPr>
          <w:rFonts w:hint="eastAsia" w:ascii="黑体" w:hAnsi="黑体" w:eastAsia="黑体" w:cs="黑体"/>
          <w:color w:val="000000" w:themeColor="text1"/>
          <w:sz w:val="32"/>
          <w:szCs w:val="32"/>
          <w14:textFill>
            <w14:solidFill>
              <w14:schemeClr w14:val="tx1"/>
            </w14:solidFill>
          </w14:textFill>
        </w:rPr>
        <w:t>二、项目资金申报及使用情况</w:t>
      </w:r>
    </w:p>
    <w:p w14:paraId="2F6BCE30">
      <w:pPr>
        <w:keepNext w:val="0"/>
        <w:keepLines w:val="0"/>
        <w:pageBreakBefore w:val="0"/>
        <w:widowControl w:val="0"/>
        <w:kinsoku/>
        <w:wordWrap/>
        <w:overflowPunct/>
        <w:topLinePunct w:val="0"/>
        <w:autoSpaceDE/>
        <w:autoSpaceDN/>
        <w:bidi w:val="0"/>
        <w:adjustRightInd w:val="0"/>
        <w:snapToGrid w:val="0"/>
        <w:spacing w:line="600" w:lineRule="exact"/>
        <w:ind w:firstLine="643" w:firstLineChars="200"/>
        <w:textAlignment w:val="auto"/>
        <w:rPr>
          <w:rFonts w:hint="eastAsia" w:eastAsia="楷体_GB2312" w:cs="楷体_GB2312"/>
          <w:b/>
          <w:color w:val="000000" w:themeColor="text1"/>
          <w:sz w:val="32"/>
          <w:szCs w:val="32"/>
          <w:lang w:val="zh-CN"/>
          <w14:textFill>
            <w14:solidFill>
              <w14:schemeClr w14:val="tx1"/>
            </w14:solidFill>
          </w14:textFill>
        </w:rPr>
      </w:pPr>
      <w:r>
        <w:rPr>
          <w:rFonts w:hint="eastAsia" w:eastAsia="楷体_GB2312" w:cs="楷体_GB2312"/>
          <w:b/>
          <w:color w:val="000000" w:themeColor="text1"/>
          <w:sz w:val="32"/>
          <w:szCs w:val="32"/>
          <w:lang w:val="zh-CN"/>
          <w14:textFill>
            <w14:solidFill>
              <w14:schemeClr w14:val="tx1"/>
            </w14:solidFill>
          </w14:textFill>
        </w:rPr>
        <w:t>（一）项目资金申报及批复情况</w:t>
      </w:r>
    </w:p>
    <w:p w14:paraId="1FEA4700">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仿宋_GB2312"/>
          <w:color w:val="000000" w:themeColor="text1"/>
          <w:sz w:val="32"/>
          <w:szCs w:val="32"/>
          <w14:textFill>
            <w14:solidFill>
              <w14:schemeClr w14:val="tx1"/>
            </w14:solidFill>
          </w14:textFill>
        </w:rPr>
      </w:pPr>
      <w:r>
        <w:rPr>
          <w:rFonts w:hint="eastAsia" w:ascii="Times New Roman" w:hAnsi="Times New Roman" w:eastAsia="仿宋_GB2312" w:cs="仿宋_GB2312"/>
          <w:color w:val="000000" w:themeColor="text1"/>
          <w:sz w:val="32"/>
          <w:szCs w:val="32"/>
          <w14:textFill>
            <w14:solidFill>
              <w14:schemeClr w14:val="tx1"/>
            </w14:solidFill>
          </w14:textFill>
        </w:rPr>
        <w:t>2024年10月25日，依据川办函〔2024〕49号文件要求，向市政府请示项目立项。2024年11月27日，政府办同意并转交市政府信息化建设领导小组审查费用使用方案。2025年2月13日，市政府信息化建设领导小组审查通过，并列入2025—2027年预算。</w:t>
      </w:r>
    </w:p>
    <w:p w14:paraId="339C866C">
      <w:pPr>
        <w:keepNext w:val="0"/>
        <w:keepLines w:val="0"/>
        <w:pageBreakBefore w:val="0"/>
        <w:widowControl w:val="0"/>
        <w:kinsoku/>
        <w:wordWrap/>
        <w:overflowPunct/>
        <w:topLinePunct w:val="0"/>
        <w:autoSpaceDE/>
        <w:autoSpaceDN/>
        <w:bidi w:val="0"/>
        <w:adjustRightInd w:val="0"/>
        <w:snapToGrid w:val="0"/>
        <w:spacing w:line="600" w:lineRule="exact"/>
        <w:ind w:firstLine="643" w:firstLineChars="200"/>
        <w:textAlignment w:val="auto"/>
        <w:rPr>
          <w:rFonts w:hint="eastAsia" w:eastAsia="楷体_GB2312" w:cs="楷体_GB2312"/>
          <w:b/>
          <w:color w:val="000000" w:themeColor="text1"/>
          <w:sz w:val="32"/>
          <w:szCs w:val="32"/>
          <w:lang w:val="zh-CN"/>
          <w14:textFill>
            <w14:solidFill>
              <w14:schemeClr w14:val="tx1"/>
            </w14:solidFill>
          </w14:textFill>
        </w:rPr>
      </w:pPr>
      <w:r>
        <w:rPr>
          <w:rFonts w:hint="eastAsia" w:eastAsia="楷体_GB2312" w:cs="楷体_GB2312"/>
          <w:b/>
          <w:color w:val="000000" w:themeColor="text1"/>
          <w:sz w:val="32"/>
          <w:szCs w:val="32"/>
          <w:lang w:val="zh-CN"/>
          <w14:textFill>
            <w14:solidFill>
              <w14:schemeClr w14:val="tx1"/>
            </w14:solidFill>
          </w14:textFill>
        </w:rPr>
        <w:t>（二）资金计划、到位及使用情况</w:t>
      </w:r>
    </w:p>
    <w:p w14:paraId="31926764">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仿宋_GB2312"/>
          <w:color w:val="000000" w:themeColor="text1"/>
          <w:sz w:val="32"/>
          <w:szCs w:val="32"/>
          <w:lang w:val="zh-CN"/>
          <w14:textFill>
            <w14:solidFill>
              <w14:schemeClr w14:val="tx1"/>
            </w14:solidFill>
          </w14:textFill>
        </w:rPr>
      </w:pPr>
      <w:r>
        <w:rPr>
          <w:rFonts w:hint="eastAsia" w:ascii="Times New Roman" w:hAnsi="Times New Roman" w:eastAsia="仿宋_GB2312" w:cs="仿宋_GB2312"/>
          <w:bCs/>
          <w:color w:val="000000" w:themeColor="text1"/>
          <w:sz w:val="32"/>
          <w:szCs w:val="32"/>
          <w:lang w:val="zh-CN"/>
          <w14:textFill>
            <w14:solidFill>
              <w14:schemeClr w14:val="tx1"/>
            </w14:solidFill>
          </w14:textFill>
        </w:rPr>
        <w:t>1.资金计划。</w:t>
      </w:r>
      <w:r>
        <w:rPr>
          <w:rFonts w:hint="eastAsia" w:ascii="Times New Roman" w:hAnsi="Times New Roman" w:eastAsia="仿宋_GB2312" w:cs="仿宋_GB2312"/>
          <w:color w:val="000000" w:themeColor="text1"/>
          <w:sz w:val="32"/>
          <w:szCs w:val="32"/>
          <w:lang w:val="zh-CN"/>
          <w14:textFill>
            <w14:solidFill>
              <w14:schemeClr w14:val="tx1"/>
            </w14:solidFill>
          </w14:textFill>
        </w:rPr>
        <w:t>资金为</w:t>
      </w:r>
      <w:r>
        <w:rPr>
          <w:rFonts w:hint="eastAsia" w:ascii="Times New Roman" w:hAnsi="Times New Roman" w:eastAsia="仿宋_GB2312" w:cs="仿宋_GB2312"/>
          <w:color w:val="000000" w:themeColor="text1"/>
          <w:sz w:val="32"/>
          <w:szCs w:val="32"/>
          <w14:textFill>
            <w14:solidFill>
              <w14:schemeClr w14:val="tx1"/>
            </w14:solidFill>
          </w14:textFill>
        </w:rPr>
        <w:t>115</w:t>
      </w:r>
      <w:r>
        <w:rPr>
          <w:rFonts w:hint="eastAsia" w:ascii="Times New Roman" w:hAnsi="Times New Roman" w:eastAsia="仿宋_GB2312" w:cs="仿宋_GB2312"/>
          <w:color w:val="000000" w:themeColor="text1"/>
          <w:sz w:val="32"/>
          <w:szCs w:val="32"/>
          <w:lang w:val="zh-CN"/>
          <w14:textFill>
            <w14:solidFill>
              <w14:schemeClr w14:val="tx1"/>
            </w14:solidFill>
          </w14:textFill>
        </w:rPr>
        <w:t>万元，均为市级财政资金。</w:t>
      </w:r>
    </w:p>
    <w:p w14:paraId="7B85FBE3">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仿宋_GB2312"/>
          <w:color w:val="000000" w:themeColor="text1"/>
          <w:sz w:val="32"/>
          <w:szCs w:val="32"/>
          <w:lang w:val="zh-CN"/>
          <w14:textFill>
            <w14:solidFill>
              <w14:schemeClr w14:val="tx1"/>
            </w14:solidFill>
          </w14:textFill>
        </w:rPr>
      </w:pPr>
      <w:r>
        <w:rPr>
          <w:rFonts w:hint="eastAsia" w:ascii="Times New Roman" w:hAnsi="Times New Roman" w:eastAsia="仿宋_GB2312" w:cs="仿宋_GB2312"/>
          <w:bCs/>
          <w:color w:val="000000" w:themeColor="text1"/>
          <w:sz w:val="32"/>
          <w:szCs w:val="32"/>
          <w:lang w:val="zh-CN"/>
          <w14:textFill>
            <w14:solidFill>
              <w14:schemeClr w14:val="tx1"/>
            </w14:solidFill>
          </w14:textFill>
        </w:rPr>
        <w:t>2.资金到位。</w:t>
      </w:r>
      <w:r>
        <w:rPr>
          <w:rFonts w:hint="eastAsia" w:ascii="Times New Roman" w:hAnsi="Times New Roman" w:eastAsia="仿宋_GB2312" w:cs="仿宋_GB2312"/>
          <w:color w:val="000000" w:themeColor="text1"/>
          <w:sz w:val="32"/>
          <w:szCs w:val="32"/>
          <w:lang w:val="zh-CN"/>
          <w14:textFill>
            <w14:solidFill>
              <w14:schemeClr w14:val="tx1"/>
            </w14:solidFill>
          </w14:textFill>
        </w:rPr>
        <w:t>该项目资金</w:t>
      </w:r>
      <w:r>
        <w:rPr>
          <w:rFonts w:hint="eastAsia" w:ascii="Times New Roman" w:hAnsi="Times New Roman" w:eastAsia="仿宋_GB2312" w:cs="仿宋_GB2312"/>
          <w:color w:val="000000" w:themeColor="text1"/>
          <w:sz w:val="32"/>
          <w:szCs w:val="32"/>
          <w14:textFill>
            <w14:solidFill>
              <w14:schemeClr w14:val="tx1"/>
            </w14:solidFill>
          </w14:textFill>
        </w:rPr>
        <w:t>115</w:t>
      </w:r>
      <w:r>
        <w:rPr>
          <w:rFonts w:hint="eastAsia" w:ascii="Times New Roman" w:hAnsi="Times New Roman" w:eastAsia="仿宋_GB2312" w:cs="仿宋_GB2312"/>
          <w:color w:val="000000" w:themeColor="text1"/>
          <w:sz w:val="32"/>
          <w:szCs w:val="32"/>
          <w:lang w:val="zh-CN"/>
          <w14:textFill>
            <w14:solidFill>
              <w14:schemeClr w14:val="tx1"/>
            </w14:solidFill>
          </w14:textFill>
        </w:rPr>
        <w:t>万元于</w:t>
      </w:r>
      <w:r>
        <w:rPr>
          <w:rFonts w:hint="eastAsia" w:ascii="Times New Roman" w:hAnsi="Times New Roman" w:eastAsia="仿宋_GB2312" w:cs="仿宋_GB2312"/>
          <w:color w:val="000000" w:themeColor="text1"/>
          <w:sz w:val="32"/>
          <w:szCs w:val="32"/>
          <w14:textFill>
            <w14:solidFill>
              <w14:schemeClr w14:val="tx1"/>
            </w14:solidFill>
          </w14:textFill>
        </w:rPr>
        <w:t>2025年到位</w:t>
      </w:r>
      <w:r>
        <w:rPr>
          <w:rFonts w:hint="eastAsia" w:ascii="Times New Roman" w:hAnsi="Times New Roman" w:eastAsia="仿宋_GB2312" w:cs="仿宋_GB2312"/>
          <w:color w:val="000000" w:themeColor="text1"/>
          <w:sz w:val="32"/>
          <w:szCs w:val="32"/>
          <w:lang w:val="zh-CN"/>
          <w14:textFill>
            <w14:solidFill>
              <w14:schemeClr w14:val="tx1"/>
            </w14:solidFill>
          </w14:textFill>
        </w:rPr>
        <w:t>。资金到位情况与资金计划符合，资金到位率100%、到位及时性满足使用要求。</w:t>
      </w:r>
    </w:p>
    <w:p w14:paraId="692B49FF">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仿宋_GB2312"/>
          <w:color w:val="000000" w:themeColor="text1"/>
          <w:sz w:val="32"/>
          <w:szCs w:val="32"/>
          <w:lang w:val="zh-CN"/>
          <w14:textFill>
            <w14:solidFill>
              <w14:schemeClr w14:val="tx1"/>
            </w14:solidFill>
          </w14:textFill>
        </w:rPr>
      </w:pPr>
      <w:r>
        <w:rPr>
          <w:rFonts w:hint="eastAsia" w:ascii="Times New Roman" w:hAnsi="Times New Roman" w:eastAsia="仿宋_GB2312" w:cs="仿宋_GB2312"/>
          <w:bCs/>
          <w:color w:val="000000" w:themeColor="text1"/>
          <w:sz w:val="32"/>
          <w:szCs w:val="32"/>
          <w:lang w:val="zh-CN"/>
          <w14:textFill>
            <w14:solidFill>
              <w14:schemeClr w14:val="tx1"/>
            </w14:solidFill>
          </w14:textFill>
        </w:rPr>
        <w:t>3.资金使用。</w:t>
      </w:r>
      <w:r>
        <w:rPr>
          <w:rFonts w:hint="eastAsia" w:ascii="Times New Roman" w:hAnsi="Times New Roman" w:eastAsia="仿宋_GB2312" w:cs="仿宋_GB2312"/>
          <w:color w:val="000000" w:themeColor="text1"/>
          <w:sz w:val="32"/>
          <w:szCs w:val="32"/>
          <w14:textFill>
            <w14:solidFill>
              <w14:schemeClr w14:val="tx1"/>
            </w14:solidFill>
          </w14:textFill>
        </w:rPr>
        <w:t>2025年3月31日，公开优选确定项目采购代理机构，支付代理费用6000元、专家论证费900元、评审专家费用1500元。9月12日，通过竞争性磋商确定攀枝花市科技创新投资有限公司中标。10月23日，签订项目采购合同，总价为110万元，分三年支付。11月28日，项目验收合格。12月16日，完成第一</w:t>
      </w:r>
      <w:r>
        <w:rPr>
          <w:rFonts w:hint="eastAsia" w:eastAsia="仿宋_GB2312" w:cs="仿宋_GB2312"/>
          <w:color w:val="000000" w:themeColor="text1"/>
          <w:sz w:val="32"/>
          <w:szCs w:val="32"/>
          <w:lang w:val="en-US" w:eastAsia="zh-CN"/>
          <w14:textFill>
            <w14:solidFill>
              <w14:schemeClr w14:val="tx1"/>
            </w14:solidFill>
          </w14:textFill>
        </w:rPr>
        <w:t>期</w:t>
      </w:r>
      <w:r>
        <w:rPr>
          <w:rFonts w:hint="eastAsia" w:ascii="Times New Roman" w:hAnsi="Times New Roman" w:eastAsia="仿宋_GB2312" w:cs="仿宋_GB2312"/>
          <w:color w:val="000000" w:themeColor="text1"/>
          <w:sz w:val="32"/>
          <w:szCs w:val="32"/>
          <w14:textFill>
            <w14:solidFill>
              <w14:schemeClr w14:val="tx1"/>
            </w14:solidFill>
          </w14:textFill>
        </w:rPr>
        <w:t>付款66万元</w:t>
      </w:r>
      <w:r>
        <w:rPr>
          <w:rFonts w:hint="eastAsia" w:ascii="Times New Roman" w:hAnsi="Times New Roman" w:eastAsia="仿宋_GB2312" w:cs="仿宋_GB2312"/>
          <w:color w:val="000000" w:themeColor="text1"/>
          <w:sz w:val="32"/>
          <w:szCs w:val="32"/>
          <w:lang w:val="en-US" w:eastAsia="zh-CN"/>
          <w14:textFill>
            <w14:solidFill>
              <w14:schemeClr w14:val="tx1"/>
            </w14:solidFill>
          </w14:textFill>
        </w:rPr>
        <w:t>委内</w:t>
      </w:r>
      <w:r>
        <w:rPr>
          <w:rFonts w:hint="eastAsia" w:ascii="Times New Roman" w:hAnsi="Times New Roman" w:eastAsia="仿宋_GB2312" w:cs="仿宋_GB2312"/>
          <w:color w:val="000000" w:themeColor="text1"/>
          <w:sz w:val="32"/>
          <w:szCs w:val="32"/>
          <w14:textFill>
            <w14:solidFill>
              <w14:schemeClr w14:val="tx1"/>
            </w14:solidFill>
          </w14:textFill>
        </w:rPr>
        <w:t>支付</w:t>
      </w:r>
      <w:r>
        <w:rPr>
          <w:rFonts w:hint="eastAsia" w:ascii="Times New Roman" w:hAnsi="Times New Roman" w:eastAsia="仿宋_GB2312" w:cs="仿宋_GB2312"/>
          <w:color w:val="000000" w:themeColor="text1"/>
          <w:sz w:val="32"/>
          <w:szCs w:val="32"/>
          <w:lang w:val="en-US" w:eastAsia="zh-CN"/>
          <w14:textFill>
            <w14:solidFill>
              <w14:schemeClr w14:val="tx1"/>
            </w14:solidFill>
          </w14:textFill>
        </w:rPr>
        <w:t>审批</w:t>
      </w:r>
      <w:r>
        <w:rPr>
          <w:rFonts w:hint="eastAsia" w:ascii="Times New Roman" w:hAnsi="Times New Roman" w:eastAsia="仿宋_GB2312" w:cs="仿宋_GB2312"/>
          <w:color w:val="000000" w:themeColor="text1"/>
          <w:sz w:val="32"/>
          <w:szCs w:val="32"/>
          <w14:textFill>
            <w14:solidFill>
              <w14:schemeClr w14:val="tx1"/>
            </w14:solidFill>
          </w14:textFill>
        </w:rPr>
        <w:t>程序。</w:t>
      </w:r>
    </w:p>
    <w:p w14:paraId="468E6338">
      <w:pPr>
        <w:keepNext w:val="0"/>
        <w:keepLines w:val="0"/>
        <w:pageBreakBefore w:val="0"/>
        <w:widowControl w:val="0"/>
        <w:kinsoku/>
        <w:wordWrap/>
        <w:overflowPunct/>
        <w:topLinePunct w:val="0"/>
        <w:autoSpaceDE/>
        <w:autoSpaceDN/>
        <w:bidi w:val="0"/>
        <w:adjustRightInd w:val="0"/>
        <w:snapToGrid w:val="0"/>
        <w:spacing w:line="600" w:lineRule="exact"/>
        <w:ind w:firstLine="643" w:firstLineChars="200"/>
        <w:textAlignment w:val="auto"/>
        <w:rPr>
          <w:rFonts w:hint="eastAsia" w:eastAsia="楷体_GB2312" w:cs="楷体_GB2312"/>
          <w:b/>
          <w:color w:val="000000" w:themeColor="text1"/>
          <w:sz w:val="32"/>
          <w:szCs w:val="32"/>
          <w:lang w:val="zh-CN"/>
          <w14:textFill>
            <w14:solidFill>
              <w14:schemeClr w14:val="tx1"/>
            </w14:solidFill>
          </w14:textFill>
        </w:rPr>
      </w:pPr>
      <w:r>
        <w:rPr>
          <w:rFonts w:hint="eastAsia" w:eastAsia="楷体_GB2312" w:cs="楷体_GB2312"/>
          <w:b/>
          <w:color w:val="000000" w:themeColor="text1"/>
          <w:sz w:val="32"/>
          <w:szCs w:val="32"/>
          <w:lang w:val="zh-CN"/>
          <w14:textFill>
            <w14:solidFill>
              <w14:schemeClr w14:val="tx1"/>
            </w14:solidFill>
          </w14:textFill>
        </w:rPr>
        <w:t>（三）项目财务管理情况</w:t>
      </w:r>
    </w:p>
    <w:p w14:paraId="040B2823">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仿宋_GB2312"/>
          <w:color w:val="000000" w:themeColor="text1"/>
          <w:sz w:val="32"/>
          <w:szCs w:val="32"/>
          <w:lang w:val="zh-CN"/>
          <w14:textFill>
            <w14:solidFill>
              <w14:schemeClr w14:val="tx1"/>
            </w14:solidFill>
          </w14:textFill>
        </w:rPr>
      </w:pPr>
      <w:r>
        <w:rPr>
          <w:rFonts w:hint="eastAsia" w:ascii="Times New Roman" w:hAnsi="Times New Roman" w:eastAsia="仿宋_GB2312" w:cs="仿宋_GB2312"/>
          <w:color w:val="000000" w:themeColor="text1"/>
          <w:sz w:val="32"/>
          <w:szCs w:val="32"/>
          <w:lang w:val="zh-CN"/>
          <w14:textFill>
            <w14:solidFill>
              <w14:schemeClr w14:val="tx1"/>
            </w14:solidFill>
          </w14:textFill>
        </w:rPr>
        <w:t>项目实施严格按照</w:t>
      </w:r>
      <w:r>
        <w:rPr>
          <w:rFonts w:hint="eastAsia" w:ascii="Times New Roman" w:hAnsi="Times New Roman" w:eastAsia="仿宋_GB2312" w:cs="仿宋_GB2312"/>
          <w:color w:val="000000" w:themeColor="text1"/>
          <w:sz w:val="32"/>
          <w:szCs w:val="32"/>
          <w14:textFill>
            <w14:solidFill>
              <w14:schemeClr w14:val="tx1"/>
            </w14:solidFill>
          </w14:textFill>
        </w:rPr>
        <w:t>财务管理制度</w:t>
      </w:r>
      <w:r>
        <w:rPr>
          <w:rFonts w:hint="eastAsia" w:ascii="Times New Roman" w:hAnsi="Times New Roman" w:eastAsia="仿宋_GB2312" w:cs="仿宋_GB2312"/>
          <w:color w:val="000000" w:themeColor="text1"/>
          <w:sz w:val="32"/>
          <w:szCs w:val="32"/>
          <w:lang w:val="zh-CN"/>
          <w14:textFill>
            <w14:solidFill>
              <w14:schemeClr w14:val="tx1"/>
            </w14:solidFill>
          </w14:textFill>
        </w:rPr>
        <w:t>要求推进，制度完备，流程清晰，财务管理规范。</w:t>
      </w:r>
    </w:p>
    <w:p w14:paraId="35D97B6B">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黑体" w:hAnsi="黑体" w:eastAsia="黑体" w:cs="黑体"/>
          <w:color w:val="000000" w:themeColor="text1"/>
          <w:sz w:val="32"/>
          <w:szCs w:val="32"/>
          <w14:textFill>
            <w14:solidFill>
              <w14:schemeClr w14:val="tx1"/>
            </w14:solidFill>
          </w14:textFill>
        </w:rPr>
      </w:pPr>
      <w:r>
        <w:rPr>
          <w:rFonts w:hint="eastAsia" w:ascii="黑体" w:hAnsi="黑体" w:eastAsia="黑体" w:cs="黑体"/>
          <w:color w:val="000000" w:themeColor="text1"/>
          <w:sz w:val="32"/>
          <w:szCs w:val="32"/>
          <w14:textFill>
            <w14:solidFill>
              <w14:schemeClr w14:val="tx1"/>
            </w14:solidFill>
          </w14:textFill>
        </w:rPr>
        <w:t>三、项目实施及管理情况</w:t>
      </w:r>
    </w:p>
    <w:p w14:paraId="37F06E70">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仿宋_GB2312"/>
          <w:color w:val="000000" w:themeColor="text1"/>
          <w:sz w:val="32"/>
          <w:szCs w:val="32"/>
          <w:lang w:val="zh-CN"/>
          <w14:textFill>
            <w14:solidFill>
              <w14:schemeClr w14:val="tx1"/>
            </w14:solidFill>
          </w14:textFill>
        </w:rPr>
      </w:pPr>
      <w:r>
        <w:rPr>
          <w:rFonts w:hint="eastAsia" w:ascii="Times New Roman" w:hAnsi="Times New Roman" w:eastAsia="仿宋_GB2312" w:cs="仿宋_GB2312"/>
          <w:color w:val="000000" w:themeColor="text1"/>
          <w:sz w:val="32"/>
          <w:szCs w:val="32"/>
          <w:lang w:val="zh-CN"/>
          <w14:textFill>
            <w14:solidFill>
              <w14:schemeClr w14:val="tx1"/>
            </w14:solidFill>
          </w14:textFill>
        </w:rPr>
        <w:t>项目严格遵循政府采购服务程序组织实施，选择服务提供商时秉持公平公正原则，推进过程中遵循</w:t>
      </w:r>
      <w:r>
        <w:rPr>
          <w:rFonts w:hint="eastAsia" w:ascii="Times New Roman" w:hAnsi="Times New Roman" w:eastAsia="仿宋_GB2312" w:cs="仿宋_GB2312"/>
          <w:color w:val="000000" w:themeColor="text1"/>
          <w:sz w:val="32"/>
          <w:szCs w:val="32"/>
          <w14:textFill>
            <w14:solidFill>
              <w14:schemeClr w14:val="tx1"/>
            </w14:solidFill>
          </w14:textFill>
        </w:rPr>
        <w:t>管理制度</w:t>
      </w:r>
      <w:r>
        <w:rPr>
          <w:rFonts w:hint="eastAsia" w:ascii="Times New Roman" w:hAnsi="Times New Roman" w:eastAsia="仿宋_GB2312" w:cs="仿宋_GB2312"/>
          <w:color w:val="000000" w:themeColor="text1"/>
          <w:sz w:val="32"/>
          <w:szCs w:val="32"/>
          <w:lang w:val="zh-CN"/>
          <w14:textFill>
            <w14:solidFill>
              <w14:schemeClr w14:val="tx1"/>
            </w14:solidFill>
          </w14:textFill>
        </w:rPr>
        <w:t>，确保程序合规、推进顺利。</w:t>
      </w:r>
    </w:p>
    <w:p w14:paraId="2842D907">
      <w:pPr>
        <w:keepNext w:val="0"/>
        <w:keepLines w:val="0"/>
        <w:pageBreakBefore w:val="0"/>
        <w:widowControl w:val="0"/>
        <w:kinsoku/>
        <w:wordWrap/>
        <w:overflowPunct/>
        <w:topLinePunct w:val="0"/>
        <w:autoSpaceDE/>
        <w:autoSpaceDN/>
        <w:bidi w:val="0"/>
        <w:adjustRightInd w:val="0"/>
        <w:snapToGrid w:val="0"/>
        <w:spacing w:line="600" w:lineRule="exact"/>
        <w:ind w:firstLine="643" w:firstLineChars="200"/>
        <w:textAlignment w:val="auto"/>
        <w:rPr>
          <w:rFonts w:hint="eastAsia" w:eastAsia="楷体_GB2312" w:cs="楷体_GB2312"/>
          <w:b/>
          <w:color w:val="000000" w:themeColor="text1"/>
          <w:sz w:val="32"/>
          <w:szCs w:val="32"/>
          <w:lang w:val="zh-CN"/>
          <w14:textFill>
            <w14:solidFill>
              <w14:schemeClr w14:val="tx1"/>
            </w14:solidFill>
          </w14:textFill>
        </w:rPr>
      </w:pPr>
      <w:r>
        <w:rPr>
          <w:rFonts w:hint="eastAsia" w:eastAsia="楷体_GB2312" w:cs="楷体_GB2312"/>
          <w:b/>
          <w:color w:val="000000" w:themeColor="text1"/>
          <w:sz w:val="32"/>
          <w:szCs w:val="32"/>
          <w:lang w:val="zh-CN"/>
          <w14:textFill>
            <w14:solidFill>
              <w14:schemeClr w14:val="tx1"/>
            </w14:solidFill>
          </w14:textFill>
        </w:rPr>
        <w:t>（一）项目组织架构及实施流程</w:t>
      </w:r>
    </w:p>
    <w:p w14:paraId="7FF49190">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仿宋_GB2312"/>
          <w:color w:val="000000" w:themeColor="text1"/>
          <w:sz w:val="32"/>
          <w:szCs w:val="32"/>
          <w:lang w:val="zh-CN"/>
          <w14:textFill>
            <w14:solidFill>
              <w14:schemeClr w14:val="tx1"/>
            </w14:solidFill>
          </w14:textFill>
        </w:rPr>
      </w:pPr>
      <w:r>
        <w:rPr>
          <w:rFonts w:hint="eastAsia" w:ascii="Times New Roman" w:hAnsi="Times New Roman" w:eastAsia="仿宋_GB2312" w:cs="仿宋_GB2312"/>
          <w:color w:val="000000" w:themeColor="text1"/>
          <w:sz w:val="32"/>
          <w:szCs w:val="32"/>
          <w:lang w:val="zh-CN"/>
          <w14:textFill>
            <w14:solidFill>
              <w14:schemeClr w14:val="tx1"/>
            </w14:solidFill>
          </w14:textFill>
        </w:rPr>
        <w:t>由市发展改革委按照政府采购服务方式实施项目。</w:t>
      </w:r>
    </w:p>
    <w:p w14:paraId="7DBEEAEE">
      <w:pPr>
        <w:keepNext w:val="0"/>
        <w:keepLines w:val="0"/>
        <w:pageBreakBefore w:val="0"/>
        <w:widowControl w:val="0"/>
        <w:kinsoku/>
        <w:wordWrap/>
        <w:overflowPunct/>
        <w:topLinePunct w:val="0"/>
        <w:autoSpaceDE/>
        <w:autoSpaceDN/>
        <w:bidi w:val="0"/>
        <w:adjustRightInd w:val="0"/>
        <w:snapToGrid w:val="0"/>
        <w:spacing w:line="600" w:lineRule="exact"/>
        <w:ind w:firstLine="643" w:firstLineChars="200"/>
        <w:textAlignment w:val="auto"/>
        <w:rPr>
          <w:rFonts w:hint="eastAsia" w:eastAsia="楷体_GB2312" w:cs="楷体_GB2312"/>
          <w:b/>
          <w:color w:val="000000" w:themeColor="text1"/>
          <w:sz w:val="32"/>
          <w:szCs w:val="32"/>
          <w:lang w:val="zh-CN"/>
          <w14:textFill>
            <w14:solidFill>
              <w14:schemeClr w14:val="tx1"/>
            </w14:solidFill>
          </w14:textFill>
        </w:rPr>
      </w:pPr>
      <w:r>
        <w:rPr>
          <w:rFonts w:hint="eastAsia" w:eastAsia="楷体_GB2312" w:cs="楷体_GB2312"/>
          <w:b/>
          <w:color w:val="000000" w:themeColor="text1"/>
          <w:sz w:val="32"/>
          <w:szCs w:val="32"/>
          <w:lang w:val="zh-CN"/>
          <w14:textFill>
            <w14:solidFill>
              <w14:schemeClr w14:val="tx1"/>
            </w14:solidFill>
          </w14:textFill>
        </w:rPr>
        <w:t>（二）项目管理情况</w:t>
      </w:r>
    </w:p>
    <w:p w14:paraId="6D3B52FE">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仿宋_GB2312"/>
          <w:color w:val="000000" w:themeColor="text1"/>
          <w:sz w:val="32"/>
          <w:szCs w:val="32"/>
          <w:lang w:val="zh-CN"/>
          <w14:textFill>
            <w14:solidFill>
              <w14:schemeClr w14:val="tx1"/>
            </w14:solidFill>
          </w14:textFill>
        </w:rPr>
      </w:pPr>
      <w:r>
        <w:rPr>
          <w:rFonts w:hint="eastAsia" w:ascii="Times New Roman" w:hAnsi="Times New Roman" w:eastAsia="仿宋_GB2312" w:cs="仿宋_GB2312"/>
          <w:color w:val="000000" w:themeColor="text1"/>
          <w:sz w:val="32"/>
          <w:szCs w:val="32"/>
          <w:lang w:val="zh-CN"/>
          <w14:textFill>
            <w14:solidFill>
              <w14:schemeClr w14:val="tx1"/>
            </w14:solidFill>
          </w14:textFill>
        </w:rPr>
        <w:t>2025年3月18日，委党组会同意开展该项目政府采购招标工作。3月31日，公开优选确定项目采购代理机构为四川思渠国际招标有限公司。</w:t>
      </w:r>
      <w:r>
        <w:rPr>
          <w:rFonts w:hint="eastAsia" w:ascii="Times New Roman" w:hAnsi="Times New Roman" w:eastAsia="仿宋_GB2312" w:cs="仿宋_GB2312"/>
          <w:color w:val="000000" w:themeColor="text1"/>
          <w:sz w:val="32"/>
          <w:szCs w:val="32"/>
          <w14:textFill>
            <w14:solidFill>
              <w14:schemeClr w14:val="tx1"/>
            </w14:solidFill>
          </w14:textFill>
        </w:rPr>
        <w:t>8月25日，代理机构在网上公开发布《竞争性磋商文件（服务类）》。</w:t>
      </w:r>
      <w:r>
        <w:rPr>
          <w:rFonts w:hint="eastAsia" w:ascii="Times New Roman" w:hAnsi="Times New Roman" w:eastAsia="仿宋_GB2312" w:cs="仿宋_GB2312"/>
          <w:color w:val="000000" w:themeColor="text1"/>
          <w:sz w:val="32"/>
          <w:szCs w:val="32"/>
          <w:lang w:val="zh-CN"/>
          <w14:textFill>
            <w14:solidFill>
              <w14:schemeClr w14:val="tx1"/>
            </w14:solidFill>
          </w14:textFill>
        </w:rPr>
        <w:t>9月12日，竞争性磋商确定攀枝花市科技创新投资有限公司中标。10月23日，市发展改革委与市科创公司签订项目采购合同并在网上进行了公示。11月28日，市发展改革委（市数据局）组织市人力资源社会保障局、市生态环境局、市大数据中心、市公积金中心等部门对项目进行验收。经核查，该项目完成全部建设内容，达到验收标准，通过验收。</w:t>
      </w:r>
      <w:r>
        <w:rPr>
          <w:rFonts w:hint="eastAsia" w:ascii="Times New Roman" w:hAnsi="Times New Roman" w:eastAsia="仿宋_GB2312" w:cs="仿宋_GB2312"/>
          <w:color w:val="000000" w:themeColor="text1"/>
          <w:sz w:val="32"/>
          <w:szCs w:val="32"/>
          <w14:textFill>
            <w14:solidFill>
              <w14:schemeClr w14:val="tx1"/>
            </w14:solidFill>
          </w14:textFill>
        </w:rPr>
        <w:t>12月16日</w:t>
      </w:r>
      <w:r>
        <w:rPr>
          <w:rFonts w:hint="eastAsia" w:ascii="Times New Roman" w:hAnsi="Times New Roman" w:eastAsia="仿宋_GB2312" w:cs="仿宋_GB2312"/>
          <w:color w:val="000000" w:themeColor="text1"/>
          <w:sz w:val="32"/>
          <w:szCs w:val="32"/>
          <w:lang w:val="zh-CN"/>
          <w14:textFill>
            <w14:solidFill>
              <w14:schemeClr w14:val="tx1"/>
            </w14:solidFill>
          </w14:textFill>
        </w:rPr>
        <w:t>在第</w:t>
      </w:r>
      <w:r>
        <w:rPr>
          <w:rFonts w:hint="eastAsia" w:ascii="Times New Roman" w:hAnsi="Times New Roman" w:eastAsia="仿宋_GB2312" w:cs="仿宋_GB2312"/>
          <w:color w:val="000000" w:themeColor="text1"/>
          <w:sz w:val="32"/>
          <w:szCs w:val="32"/>
          <w14:textFill>
            <w14:solidFill>
              <w14:schemeClr w14:val="tx1"/>
            </w14:solidFill>
          </w14:textFill>
        </w:rPr>
        <w:t>34次</w:t>
      </w:r>
      <w:r>
        <w:rPr>
          <w:rFonts w:hint="eastAsia" w:ascii="Times New Roman" w:hAnsi="Times New Roman" w:eastAsia="仿宋_GB2312" w:cs="仿宋_GB2312"/>
          <w:color w:val="000000" w:themeColor="text1"/>
          <w:sz w:val="32"/>
          <w:szCs w:val="32"/>
          <w:lang w:val="zh-CN"/>
          <w14:textFill>
            <w14:solidFill>
              <w14:schemeClr w14:val="tx1"/>
            </w14:solidFill>
          </w14:textFill>
        </w:rPr>
        <w:t>委党组会通过后</w:t>
      </w:r>
      <w:r>
        <w:rPr>
          <w:rFonts w:hint="eastAsia" w:ascii="Times New Roman" w:hAnsi="Times New Roman" w:eastAsia="仿宋_GB2312" w:cs="仿宋_GB2312"/>
          <w:color w:val="000000" w:themeColor="text1"/>
          <w:sz w:val="32"/>
          <w:szCs w:val="32"/>
          <w14:textFill>
            <w14:solidFill>
              <w14:schemeClr w14:val="tx1"/>
            </w14:solidFill>
          </w14:textFill>
        </w:rPr>
        <w:t>按合同要求完成</w:t>
      </w:r>
      <w:r>
        <w:rPr>
          <w:rFonts w:hint="eastAsia" w:ascii="Times New Roman" w:hAnsi="Times New Roman" w:eastAsia="仿宋_GB2312" w:cs="仿宋_GB2312"/>
          <w:color w:val="000000" w:themeColor="text1"/>
          <w:sz w:val="32"/>
          <w:szCs w:val="32"/>
          <w:lang w:val="zh-CN"/>
          <w14:textFill>
            <w14:solidFill>
              <w14:schemeClr w14:val="tx1"/>
            </w14:solidFill>
          </w14:textFill>
        </w:rPr>
        <w:t>第一</w:t>
      </w:r>
      <w:r>
        <w:rPr>
          <w:rFonts w:hint="eastAsia" w:eastAsia="仿宋_GB2312" w:cs="仿宋_GB2312"/>
          <w:color w:val="000000" w:themeColor="text1"/>
          <w:sz w:val="32"/>
          <w:szCs w:val="32"/>
          <w:lang w:val="en-US" w:eastAsia="zh-CN"/>
          <w14:textFill>
            <w14:solidFill>
              <w14:schemeClr w14:val="tx1"/>
            </w14:solidFill>
          </w14:textFill>
        </w:rPr>
        <w:t>期</w:t>
      </w:r>
      <w:r>
        <w:rPr>
          <w:rFonts w:hint="eastAsia" w:ascii="Times New Roman" w:hAnsi="Times New Roman" w:eastAsia="仿宋_GB2312" w:cs="仿宋_GB2312"/>
          <w:color w:val="000000" w:themeColor="text1"/>
          <w:sz w:val="32"/>
          <w:szCs w:val="32"/>
          <w:lang w:val="zh-CN"/>
          <w14:textFill>
            <w14:solidFill>
              <w14:schemeClr w14:val="tx1"/>
            </w14:solidFill>
          </w14:textFill>
        </w:rPr>
        <w:t>付款</w:t>
      </w:r>
      <w:r>
        <w:rPr>
          <w:rFonts w:hint="eastAsia" w:ascii="Times New Roman" w:hAnsi="Times New Roman" w:eastAsia="仿宋_GB2312" w:cs="仿宋_GB2312"/>
          <w:color w:val="000000" w:themeColor="text1"/>
          <w:sz w:val="32"/>
          <w:szCs w:val="32"/>
          <w:lang w:val="en-US" w:eastAsia="zh-CN"/>
          <w14:textFill>
            <w14:solidFill>
              <w14:schemeClr w14:val="tx1"/>
            </w14:solidFill>
          </w14:textFill>
        </w:rPr>
        <w:t>委内</w:t>
      </w:r>
      <w:r>
        <w:rPr>
          <w:rFonts w:hint="eastAsia" w:ascii="Times New Roman" w:hAnsi="Times New Roman" w:eastAsia="仿宋_GB2312" w:cs="仿宋_GB2312"/>
          <w:color w:val="000000" w:themeColor="text1"/>
          <w:sz w:val="32"/>
          <w:szCs w:val="32"/>
          <w:lang w:val="zh-CN"/>
          <w14:textFill>
            <w14:solidFill>
              <w14:schemeClr w14:val="tx1"/>
            </w14:solidFill>
          </w14:textFill>
        </w:rPr>
        <w:t>支付</w:t>
      </w:r>
      <w:r>
        <w:rPr>
          <w:rFonts w:hint="eastAsia" w:ascii="Times New Roman" w:hAnsi="Times New Roman" w:eastAsia="仿宋_GB2312" w:cs="仿宋_GB2312"/>
          <w:color w:val="000000" w:themeColor="text1"/>
          <w:sz w:val="32"/>
          <w:szCs w:val="32"/>
          <w:lang w:val="en-US" w:eastAsia="zh-CN"/>
          <w14:textFill>
            <w14:solidFill>
              <w14:schemeClr w14:val="tx1"/>
            </w14:solidFill>
          </w14:textFill>
        </w:rPr>
        <w:t>审批</w:t>
      </w:r>
      <w:r>
        <w:rPr>
          <w:rFonts w:hint="eastAsia" w:ascii="Times New Roman" w:hAnsi="Times New Roman" w:eastAsia="仿宋_GB2312" w:cs="仿宋_GB2312"/>
          <w:color w:val="000000" w:themeColor="text1"/>
          <w:sz w:val="32"/>
          <w:szCs w:val="32"/>
          <w14:textFill>
            <w14:solidFill>
              <w14:schemeClr w14:val="tx1"/>
            </w14:solidFill>
          </w14:textFill>
        </w:rPr>
        <w:t>程序</w:t>
      </w:r>
      <w:r>
        <w:rPr>
          <w:rFonts w:hint="eastAsia" w:ascii="Times New Roman" w:hAnsi="Times New Roman" w:eastAsia="仿宋_GB2312" w:cs="仿宋_GB2312"/>
          <w:color w:val="000000" w:themeColor="text1"/>
          <w:sz w:val="32"/>
          <w:szCs w:val="32"/>
          <w:lang w:val="zh-CN"/>
          <w14:textFill>
            <w14:solidFill>
              <w14:schemeClr w14:val="tx1"/>
            </w14:solidFill>
          </w14:textFill>
        </w:rPr>
        <w:t>。</w:t>
      </w:r>
    </w:p>
    <w:p w14:paraId="749D35EA">
      <w:pPr>
        <w:keepNext w:val="0"/>
        <w:keepLines w:val="0"/>
        <w:pageBreakBefore w:val="0"/>
        <w:widowControl w:val="0"/>
        <w:kinsoku/>
        <w:wordWrap/>
        <w:overflowPunct/>
        <w:topLinePunct w:val="0"/>
        <w:autoSpaceDE/>
        <w:autoSpaceDN/>
        <w:bidi w:val="0"/>
        <w:adjustRightInd w:val="0"/>
        <w:snapToGrid w:val="0"/>
        <w:spacing w:line="600" w:lineRule="exact"/>
        <w:ind w:firstLine="643" w:firstLineChars="200"/>
        <w:textAlignment w:val="auto"/>
        <w:rPr>
          <w:rFonts w:hint="eastAsia" w:eastAsia="楷体_GB2312" w:cs="楷体_GB2312"/>
          <w:b/>
          <w:color w:val="000000" w:themeColor="text1"/>
          <w:sz w:val="32"/>
          <w:szCs w:val="32"/>
          <w:lang w:val="zh-CN"/>
          <w14:textFill>
            <w14:solidFill>
              <w14:schemeClr w14:val="tx1"/>
            </w14:solidFill>
          </w14:textFill>
        </w:rPr>
      </w:pPr>
      <w:r>
        <w:rPr>
          <w:rFonts w:hint="eastAsia" w:eastAsia="楷体_GB2312" w:cs="楷体_GB2312"/>
          <w:b/>
          <w:color w:val="000000" w:themeColor="text1"/>
          <w:sz w:val="32"/>
          <w:szCs w:val="32"/>
          <w:lang w:val="zh-CN"/>
          <w14:textFill>
            <w14:solidFill>
              <w14:schemeClr w14:val="tx1"/>
            </w14:solidFill>
          </w14:textFill>
        </w:rPr>
        <w:t>（三）项目监管情况</w:t>
      </w:r>
    </w:p>
    <w:p w14:paraId="2504C1B2">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仿宋_GB2312"/>
          <w:color w:val="000000" w:themeColor="text1"/>
          <w:sz w:val="32"/>
          <w:szCs w:val="32"/>
          <w:lang w:val="zh-CN"/>
          <w14:textFill>
            <w14:solidFill>
              <w14:schemeClr w14:val="tx1"/>
            </w14:solidFill>
          </w14:textFill>
        </w:rPr>
      </w:pPr>
      <w:r>
        <w:rPr>
          <w:rFonts w:hint="eastAsia" w:ascii="Times New Roman" w:hAnsi="Times New Roman" w:eastAsia="仿宋_GB2312" w:cs="仿宋_GB2312"/>
          <w:color w:val="000000" w:themeColor="text1"/>
          <w:sz w:val="32"/>
          <w:szCs w:val="32"/>
          <w:lang w:val="zh-CN"/>
          <w14:textFill>
            <w14:solidFill>
              <w14:schemeClr w14:val="tx1"/>
            </w14:solidFill>
          </w14:textFill>
        </w:rPr>
        <w:t>项目实施步骤严格履行报审程序，每一步推进均需报委党组会审定，资金使用严格按照财务流程完善手续。</w:t>
      </w:r>
    </w:p>
    <w:p w14:paraId="3DBD29B1">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黑体" w:hAnsi="黑体" w:eastAsia="黑体" w:cs="黑体"/>
          <w:color w:val="000000" w:themeColor="text1"/>
          <w:sz w:val="32"/>
          <w:szCs w:val="32"/>
          <w:lang w:val="zh-CN"/>
          <w14:textFill>
            <w14:solidFill>
              <w14:schemeClr w14:val="tx1"/>
            </w14:solidFill>
          </w14:textFill>
        </w:rPr>
      </w:pPr>
      <w:r>
        <w:rPr>
          <w:rFonts w:hint="eastAsia" w:ascii="黑体" w:hAnsi="黑体" w:eastAsia="黑体" w:cs="黑体"/>
          <w:color w:val="000000" w:themeColor="text1"/>
          <w:sz w:val="32"/>
          <w:szCs w:val="32"/>
          <w14:textFill>
            <w14:solidFill>
              <w14:schemeClr w14:val="tx1"/>
            </w14:solidFill>
          </w14:textFill>
        </w:rPr>
        <w:t>四、项目绩效情况</w:t>
      </w:r>
      <w:r>
        <w:rPr>
          <w:rFonts w:hint="eastAsia" w:ascii="黑体" w:hAnsi="黑体" w:eastAsia="黑体" w:cs="黑体"/>
          <w:color w:val="000000" w:themeColor="text1"/>
          <w:sz w:val="32"/>
          <w:szCs w:val="32"/>
          <w:lang w:val="zh-CN"/>
          <w14:textFill>
            <w14:solidFill>
              <w14:schemeClr w14:val="tx1"/>
            </w14:solidFill>
          </w14:textFill>
        </w:rPr>
        <w:tab/>
      </w:r>
    </w:p>
    <w:p w14:paraId="3D398767">
      <w:pPr>
        <w:keepNext w:val="0"/>
        <w:keepLines w:val="0"/>
        <w:pageBreakBefore w:val="0"/>
        <w:widowControl w:val="0"/>
        <w:kinsoku/>
        <w:wordWrap/>
        <w:overflowPunct/>
        <w:topLinePunct w:val="0"/>
        <w:autoSpaceDE/>
        <w:autoSpaceDN/>
        <w:bidi w:val="0"/>
        <w:adjustRightInd w:val="0"/>
        <w:snapToGrid w:val="0"/>
        <w:spacing w:line="600" w:lineRule="exact"/>
        <w:ind w:firstLine="643" w:firstLineChars="200"/>
        <w:textAlignment w:val="auto"/>
        <w:rPr>
          <w:rFonts w:hint="eastAsia" w:eastAsia="楷体_GB2312" w:cs="楷体_GB2312"/>
          <w:b/>
          <w:color w:val="000000" w:themeColor="text1"/>
          <w:sz w:val="32"/>
          <w:szCs w:val="32"/>
          <w:lang w:val="zh-CN"/>
          <w14:textFill>
            <w14:solidFill>
              <w14:schemeClr w14:val="tx1"/>
            </w14:solidFill>
          </w14:textFill>
        </w:rPr>
      </w:pPr>
      <w:r>
        <w:rPr>
          <w:rFonts w:hint="eastAsia" w:eastAsia="楷体_GB2312" w:cs="楷体_GB2312"/>
          <w:b/>
          <w:color w:val="000000" w:themeColor="text1"/>
          <w:sz w:val="32"/>
          <w:szCs w:val="32"/>
          <w:lang w:val="zh-CN"/>
          <w14:textFill>
            <w14:solidFill>
              <w14:schemeClr w14:val="tx1"/>
            </w14:solidFill>
          </w14:textFill>
        </w:rPr>
        <w:t>（一）项目完成情况</w:t>
      </w:r>
    </w:p>
    <w:p w14:paraId="3353E4A1">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仿宋_GB2312"/>
          <w:color w:val="000000" w:themeColor="text1"/>
          <w:sz w:val="32"/>
          <w:szCs w:val="32"/>
          <w14:textFill>
            <w14:solidFill>
              <w14:schemeClr w14:val="tx1"/>
            </w14:solidFill>
          </w14:textFill>
        </w:rPr>
      </w:pPr>
      <w:r>
        <w:rPr>
          <w:rFonts w:hint="eastAsia" w:ascii="Times New Roman" w:hAnsi="Times New Roman" w:eastAsia="仿宋_GB2312" w:cs="仿宋_GB2312"/>
          <w:color w:val="000000" w:themeColor="text1"/>
          <w:sz w:val="32"/>
          <w:szCs w:val="32"/>
          <w:lang w:val="zh-CN"/>
          <w14:textFill>
            <w14:solidFill>
              <w14:schemeClr w14:val="tx1"/>
            </w14:solidFill>
          </w14:textFill>
        </w:rPr>
        <w:t>项目按期推进完成，经验收，该项目完成全部建设内容，建设内容符合川办函〔2024〕49号文件要求</w:t>
      </w:r>
      <w:r>
        <w:rPr>
          <w:rFonts w:hint="eastAsia" w:ascii="Times New Roman" w:hAnsi="Times New Roman" w:eastAsia="仿宋_GB2312" w:cs="仿宋_GB2312"/>
          <w:color w:val="000000" w:themeColor="text1"/>
          <w:sz w:val="32"/>
          <w:szCs w:val="32"/>
          <w14:textFill>
            <w14:solidFill>
              <w14:schemeClr w14:val="tx1"/>
            </w14:solidFill>
          </w14:textFill>
        </w:rPr>
        <w:t>。</w:t>
      </w:r>
    </w:p>
    <w:p w14:paraId="2EFD9DB8">
      <w:pPr>
        <w:keepNext w:val="0"/>
        <w:keepLines w:val="0"/>
        <w:pageBreakBefore w:val="0"/>
        <w:widowControl w:val="0"/>
        <w:kinsoku/>
        <w:wordWrap/>
        <w:overflowPunct/>
        <w:topLinePunct w:val="0"/>
        <w:autoSpaceDE/>
        <w:autoSpaceDN/>
        <w:bidi w:val="0"/>
        <w:adjustRightInd w:val="0"/>
        <w:snapToGrid w:val="0"/>
        <w:spacing w:line="600" w:lineRule="exact"/>
        <w:ind w:firstLine="643" w:firstLineChars="200"/>
        <w:textAlignment w:val="auto"/>
        <w:rPr>
          <w:rFonts w:hint="eastAsia" w:eastAsia="楷体_GB2312" w:cs="楷体_GB2312"/>
          <w:b/>
          <w:color w:val="000000" w:themeColor="text1"/>
          <w:sz w:val="32"/>
          <w:szCs w:val="32"/>
          <w:lang w:val="zh-CN"/>
          <w14:textFill>
            <w14:solidFill>
              <w14:schemeClr w14:val="tx1"/>
            </w14:solidFill>
          </w14:textFill>
        </w:rPr>
      </w:pPr>
      <w:r>
        <w:rPr>
          <w:rFonts w:hint="eastAsia" w:eastAsia="楷体_GB2312" w:cs="楷体_GB2312"/>
          <w:b/>
          <w:color w:val="000000" w:themeColor="text1"/>
          <w:sz w:val="32"/>
          <w:szCs w:val="32"/>
          <w:lang w:val="zh-CN"/>
          <w14:textFill>
            <w14:solidFill>
              <w14:schemeClr w14:val="tx1"/>
            </w14:solidFill>
          </w14:textFill>
        </w:rPr>
        <w:t>（二）项目效益情况</w:t>
      </w:r>
    </w:p>
    <w:p w14:paraId="0F3E6C2C">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仿宋_GB2312"/>
          <w:color w:val="000000" w:themeColor="text1"/>
          <w:sz w:val="32"/>
          <w:szCs w:val="32"/>
          <w:lang w:val="zh-CN"/>
          <w14:textFill>
            <w14:solidFill>
              <w14:schemeClr w14:val="tx1"/>
            </w14:solidFill>
          </w14:textFill>
        </w:rPr>
      </w:pPr>
      <w:r>
        <w:rPr>
          <w:rFonts w:hint="eastAsia" w:ascii="Times New Roman" w:hAnsi="Times New Roman" w:eastAsia="仿宋_GB2312" w:cs="仿宋_GB2312"/>
          <w:color w:val="000000" w:themeColor="text1"/>
          <w:sz w:val="32"/>
          <w:szCs w:val="32"/>
          <w:lang w:val="zh-CN"/>
          <w14:textFill>
            <w14:solidFill>
              <w14:schemeClr w14:val="tx1"/>
            </w14:solidFill>
          </w14:textFill>
        </w:rPr>
        <w:t>该项目让政务数据直达基层，有力支撑了“高效办成一件事”工作，提高了政务事项办理效率，优化了营商环境，提升了群众和企业的满意度，取得了显著的社会效益。</w:t>
      </w:r>
    </w:p>
    <w:p w14:paraId="1E154622">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黑体" w:hAnsi="黑体" w:eastAsia="黑体" w:cs="黑体"/>
          <w:color w:val="000000" w:themeColor="text1"/>
          <w:sz w:val="32"/>
          <w:szCs w:val="32"/>
          <w14:textFill>
            <w14:solidFill>
              <w14:schemeClr w14:val="tx1"/>
            </w14:solidFill>
          </w14:textFill>
        </w:rPr>
      </w:pPr>
      <w:r>
        <w:rPr>
          <w:rFonts w:hint="eastAsia" w:ascii="黑体" w:hAnsi="黑体" w:eastAsia="黑体" w:cs="黑体"/>
          <w:color w:val="000000" w:themeColor="text1"/>
          <w:sz w:val="32"/>
          <w:szCs w:val="32"/>
          <w14:textFill>
            <w14:solidFill>
              <w14:schemeClr w14:val="tx1"/>
            </w14:solidFill>
          </w14:textFill>
        </w:rPr>
        <w:t>五、评价结论及建议</w:t>
      </w:r>
    </w:p>
    <w:p w14:paraId="4C10411A">
      <w:pPr>
        <w:keepNext w:val="0"/>
        <w:keepLines w:val="0"/>
        <w:pageBreakBefore w:val="0"/>
        <w:widowControl w:val="0"/>
        <w:kinsoku/>
        <w:wordWrap/>
        <w:overflowPunct/>
        <w:topLinePunct w:val="0"/>
        <w:autoSpaceDE/>
        <w:autoSpaceDN/>
        <w:bidi w:val="0"/>
        <w:adjustRightInd w:val="0"/>
        <w:snapToGrid w:val="0"/>
        <w:spacing w:line="600" w:lineRule="exact"/>
        <w:ind w:firstLine="643" w:firstLineChars="200"/>
        <w:textAlignment w:val="auto"/>
        <w:rPr>
          <w:rFonts w:hint="eastAsia" w:eastAsia="楷体_GB2312" w:cs="楷体_GB2312"/>
          <w:b/>
          <w:color w:val="000000" w:themeColor="text1"/>
          <w:sz w:val="32"/>
          <w:szCs w:val="32"/>
          <w:lang w:val="zh-CN"/>
          <w14:textFill>
            <w14:solidFill>
              <w14:schemeClr w14:val="tx1"/>
            </w14:solidFill>
          </w14:textFill>
        </w:rPr>
      </w:pPr>
      <w:r>
        <w:rPr>
          <w:rFonts w:hint="eastAsia" w:eastAsia="楷体_GB2312" w:cs="楷体_GB2312"/>
          <w:b/>
          <w:color w:val="000000" w:themeColor="text1"/>
          <w:sz w:val="32"/>
          <w:szCs w:val="32"/>
          <w:lang w:val="zh-CN"/>
          <w14:textFill>
            <w14:solidFill>
              <w14:schemeClr w14:val="tx1"/>
            </w14:solidFill>
          </w14:textFill>
        </w:rPr>
        <w:t>（一）评价结论</w:t>
      </w:r>
    </w:p>
    <w:p w14:paraId="4081233E">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仿宋_GB2312"/>
          <w:color w:val="000000" w:themeColor="text1"/>
          <w:sz w:val="32"/>
          <w:szCs w:val="32"/>
          <w:lang w:val="zh-CN"/>
          <w14:textFill>
            <w14:solidFill>
              <w14:schemeClr w14:val="tx1"/>
            </w14:solidFill>
          </w14:textFill>
        </w:rPr>
      </w:pPr>
      <w:r>
        <w:rPr>
          <w:rFonts w:hint="eastAsia" w:ascii="Times New Roman" w:hAnsi="Times New Roman" w:eastAsia="仿宋_GB2312" w:cs="仿宋_GB2312"/>
          <w:color w:val="000000" w:themeColor="text1"/>
          <w:sz w:val="32"/>
          <w:szCs w:val="32"/>
          <w:lang w:val="zh-CN"/>
          <w14:textFill>
            <w14:solidFill>
              <w14:schemeClr w14:val="tx1"/>
            </w14:solidFill>
          </w14:textFill>
        </w:rPr>
        <w:t>项目达到了促进“高效办成一件事”的预期目的。</w:t>
      </w:r>
    </w:p>
    <w:p w14:paraId="4780C669">
      <w:pPr>
        <w:keepNext w:val="0"/>
        <w:keepLines w:val="0"/>
        <w:pageBreakBefore w:val="0"/>
        <w:widowControl w:val="0"/>
        <w:kinsoku/>
        <w:wordWrap/>
        <w:overflowPunct/>
        <w:topLinePunct w:val="0"/>
        <w:autoSpaceDE/>
        <w:autoSpaceDN/>
        <w:bidi w:val="0"/>
        <w:adjustRightInd w:val="0"/>
        <w:snapToGrid w:val="0"/>
        <w:spacing w:line="600" w:lineRule="exact"/>
        <w:ind w:firstLine="643" w:firstLineChars="200"/>
        <w:textAlignment w:val="auto"/>
        <w:rPr>
          <w:rFonts w:hint="eastAsia" w:eastAsia="楷体_GB2312" w:cs="楷体_GB2312"/>
          <w:b/>
          <w:color w:val="000000" w:themeColor="text1"/>
          <w:sz w:val="32"/>
          <w:szCs w:val="32"/>
          <w:lang w:val="zh-CN"/>
          <w14:textFill>
            <w14:solidFill>
              <w14:schemeClr w14:val="tx1"/>
            </w14:solidFill>
          </w14:textFill>
        </w:rPr>
      </w:pPr>
      <w:r>
        <w:rPr>
          <w:rFonts w:hint="eastAsia" w:eastAsia="楷体_GB2312" w:cs="楷体_GB2312"/>
          <w:b/>
          <w:color w:val="000000" w:themeColor="text1"/>
          <w:sz w:val="32"/>
          <w:szCs w:val="32"/>
          <w:lang w:val="zh-CN"/>
          <w14:textFill>
            <w14:solidFill>
              <w14:schemeClr w14:val="tx1"/>
            </w14:solidFill>
          </w14:textFill>
        </w:rPr>
        <w:t>（二）存在的问题</w:t>
      </w:r>
    </w:p>
    <w:p w14:paraId="7A5AB5A5">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仿宋_GB2312"/>
          <w:color w:val="000000" w:themeColor="text1"/>
          <w:sz w:val="32"/>
          <w:szCs w:val="32"/>
          <w:lang w:val="zh-CN"/>
          <w14:textFill>
            <w14:solidFill>
              <w14:schemeClr w14:val="tx1"/>
            </w14:solidFill>
          </w14:textFill>
        </w:rPr>
      </w:pPr>
      <w:r>
        <w:rPr>
          <w:rFonts w:hint="eastAsia" w:ascii="Times New Roman" w:hAnsi="Times New Roman" w:eastAsia="仿宋_GB2312" w:cs="仿宋_GB2312"/>
          <w:color w:val="000000" w:themeColor="text1"/>
          <w:sz w:val="32"/>
          <w:szCs w:val="32"/>
          <w:lang w:val="zh-CN"/>
          <w14:textFill>
            <w14:solidFill>
              <w14:schemeClr w14:val="tx1"/>
            </w14:solidFill>
          </w14:textFill>
        </w:rPr>
        <w:t>无。</w:t>
      </w:r>
      <w:r>
        <w:rPr>
          <w:rFonts w:hint="eastAsia" w:ascii="Times New Roman" w:hAnsi="Times New Roman" w:eastAsia="仿宋_GB2312" w:cs="仿宋_GB2312"/>
          <w:color w:val="000000" w:themeColor="text1"/>
          <w:sz w:val="32"/>
          <w:szCs w:val="32"/>
          <w:lang w:val="zh-CN"/>
          <w14:textFill>
            <w14:solidFill>
              <w14:schemeClr w14:val="tx1"/>
            </w14:solidFill>
          </w14:textFill>
        </w:rPr>
        <w:tab/>
      </w:r>
    </w:p>
    <w:p w14:paraId="68E531D8">
      <w:pPr>
        <w:keepNext w:val="0"/>
        <w:keepLines w:val="0"/>
        <w:pageBreakBefore w:val="0"/>
        <w:widowControl w:val="0"/>
        <w:kinsoku/>
        <w:wordWrap/>
        <w:overflowPunct/>
        <w:topLinePunct w:val="0"/>
        <w:autoSpaceDE/>
        <w:autoSpaceDN/>
        <w:bidi w:val="0"/>
        <w:adjustRightInd w:val="0"/>
        <w:snapToGrid w:val="0"/>
        <w:spacing w:line="600" w:lineRule="exact"/>
        <w:ind w:firstLine="643" w:firstLineChars="200"/>
        <w:textAlignment w:val="auto"/>
        <w:rPr>
          <w:rFonts w:hint="eastAsia" w:eastAsia="楷体_GB2312" w:cs="楷体_GB2312"/>
          <w:b/>
          <w:color w:val="000000" w:themeColor="text1"/>
          <w:sz w:val="32"/>
          <w:szCs w:val="32"/>
          <w:lang w:val="zh-CN"/>
          <w14:textFill>
            <w14:solidFill>
              <w14:schemeClr w14:val="tx1"/>
            </w14:solidFill>
          </w14:textFill>
        </w:rPr>
      </w:pPr>
      <w:r>
        <w:rPr>
          <w:rFonts w:hint="eastAsia" w:eastAsia="楷体_GB2312" w:cs="楷体_GB2312"/>
          <w:b/>
          <w:color w:val="000000" w:themeColor="text1"/>
          <w:sz w:val="32"/>
          <w:szCs w:val="32"/>
          <w:lang w:val="zh-CN"/>
          <w14:textFill>
            <w14:solidFill>
              <w14:schemeClr w14:val="tx1"/>
            </w14:solidFill>
          </w14:textFill>
        </w:rPr>
        <w:t>（三）相关建议</w:t>
      </w:r>
    </w:p>
    <w:p w14:paraId="4DDAE3D2">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仿宋_GB2312"/>
          <w:color w:val="000000" w:themeColor="text1"/>
          <w:sz w:val="32"/>
          <w:szCs w:val="32"/>
          <w:lang w:val="zh-CN"/>
          <w14:textFill>
            <w14:solidFill>
              <w14:schemeClr w14:val="tx1"/>
            </w14:solidFill>
          </w14:textFill>
        </w:rPr>
      </w:pPr>
      <w:r>
        <w:rPr>
          <w:rFonts w:hint="eastAsia" w:ascii="Times New Roman" w:hAnsi="Times New Roman" w:eastAsia="仿宋_GB2312" w:cs="仿宋_GB2312"/>
          <w:color w:val="000000" w:themeColor="text1"/>
          <w:sz w:val="32"/>
          <w:szCs w:val="32"/>
          <w:lang w:val="zh-CN"/>
          <w14:textFill>
            <w14:solidFill>
              <w14:schemeClr w14:val="tx1"/>
            </w14:solidFill>
          </w14:textFill>
        </w:rPr>
        <w:t>无。</w:t>
      </w:r>
    </w:p>
    <w:p w14:paraId="3C0258C3">
      <w:pPr>
        <w:rPr>
          <w:rFonts w:eastAsia="黑体"/>
          <w:color w:val="000000" w:themeColor="text1"/>
          <w:sz w:val="44"/>
          <w:szCs w:val="44"/>
          <w14:textFill>
            <w14:solidFill>
              <w14:schemeClr w14:val="tx1"/>
            </w14:solidFill>
          </w14:textFill>
        </w:rPr>
      </w:pPr>
      <w:r>
        <w:rPr>
          <w:rFonts w:eastAsia="仿宋_GB2312"/>
          <w:color w:val="000000" w:themeColor="text1"/>
          <w:sz w:val="32"/>
          <w:szCs w:val="32"/>
          <w:lang w:val="zh-CN"/>
          <w14:textFill>
            <w14:solidFill>
              <w14:schemeClr w14:val="tx1"/>
            </w14:solidFill>
          </w14:textFill>
        </w:rPr>
        <w:br w:type="page"/>
      </w:r>
    </w:p>
    <w:p w14:paraId="15B789C8">
      <w:pPr>
        <w:pStyle w:val="2"/>
        <w:keepNext/>
        <w:keepLines/>
        <w:pageBreakBefore w:val="0"/>
        <w:widowControl w:val="0"/>
        <w:kinsoku/>
        <w:wordWrap/>
        <w:overflowPunct/>
        <w:topLinePunct w:val="0"/>
        <w:autoSpaceDE/>
        <w:autoSpaceDN/>
        <w:bidi w:val="0"/>
        <w:adjustRightInd/>
        <w:snapToGrid/>
        <w:spacing w:line="579" w:lineRule="auto"/>
        <w:jc w:val="center"/>
        <w:textAlignment w:val="auto"/>
        <w:rPr>
          <w:rFonts w:ascii="方正小标宋简体" w:hAnsi="方正小标宋简体" w:eastAsia="方正小标宋简体" w:cs="方正小标宋简体"/>
          <w:b w:val="0"/>
          <w:color w:val="000000" w:themeColor="text1"/>
          <w14:textFill>
            <w14:solidFill>
              <w14:schemeClr w14:val="tx1"/>
            </w14:solidFill>
          </w14:textFill>
        </w:rPr>
      </w:pPr>
      <w:bookmarkStart w:id="71" w:name="_Toc20366"/>
      <w:r>
        <w:rPr>
          <w:rFonts w:hint="eastAsia" w:ascii="方正小标宋简体" w:hAnsi="方正小标宋简体" w:eastAsia="方正小标宋简体" w:cs="方正小标宋简体"/>
          <w:color w:val="000000" w:themeColor="text1"/>
          <w14:textFill>
            <w14:solidFill>
              <w14:schemeClr w14:val="tx1"/>
            </w14:solidFill>
          </w14:textFill>
        </w:rPr>
        <w:t>第</w:t>
      </w:r>
      <w:r>
        <w:rPr>
          <w:rStyle w:val="29"/>
          <w:rFonts w:hint="eastAsia" w:ascii="方正小标宋简体" w:hAnsi="方正小标宋简体" w:eastAsia="方正小标宋简体" w:cs="方正小标宋简体"/>
          <w:b w:val="0"/>
          <w:bCs/>
          <w:color w:val="000000" w:themeColor="text1"/>
          <w14:textFill>
            <w14:solidFill>
              <w14:schemeClr w14:val="tx1"/>
            </w14:solidFill>
          </w14:textFill>
        </w:rPr>
        <w:t>五部分 附表</w:t>
      </w:r>
      <w:bookmarkEnd w:id="66"/>
      <w:bookmarkEnd w:id="70"/>
      <w:bookmarkEnd w:id="71"/>
      <w:bookmarkStart w:id="72" w:name="_Toc15396619"/>
    </w:p>
    <w:p w14:paraId="3B423512">
      <w:pPr>
        <w:pStyle w:val="3"/>
        <w:spacing w:before="0" w:after="0" w:line="600" w:lineRule="exact"/>
        <w:ind w:firstLine="640" w:firstLineChars="200"/>
        <w:rPr>
          <w:rFonts w:ascii="方正仿宋_GB2312" w:hAnsi="方正仿宋_GB2312" w:eastAsia="方正仿宋_GB2312" w:cs="方正仿宋_GB2312"/>
          <w:b w:val="0"/>
          <w:bCs w:val="0"/>
          <w:color w:val="000000" w:themeColor="text1"/>
          <w14:textFill>
            <w14:solidFill>
              <w14:schemeClr w14:val="tx1"/>
            </w14:solidFill>
          </w14:textFill>
        </w:rPr>
      </w:pPr>
    </w:p>
    <w:p w14:paraId="7D4D31EB">
      <w:pPr>
        <w:pStyle w:val="3"/>
        <w:pageBreakBefore w:val="0"/>
        <w:widowControl w:val="0"/>
        <w:kinsoku/>
        <w:wordWrap/>
        <w:overflowPunct/>
        <w:topLinePunct w:val="0"/>
        <w:autoSpaceDE/>
        <w:autoSpaceDN/>
        <w:bidi w:val="0"/>
        <w:adjustRightInd/>
        <w:snapToGrid/>
        <w:spacing w:before="0" w:after="0" w:line="600" w:lineRule="exact"/>
        <w:ind w:firstLine="640" w:firstLineChars="200"/>
        <w:textAlignment w:val="auto"/>
        <w:rPr>
          <w:rFonts w:hint="eastAsia" w:ascii="仿宋_GB2312" w:hAnsi="仿宋_GB2312" w:eastAsia="仿宋_GB2312" w:cs="仿宋_GB2312"/>
          <w:b w:val="0"/>
          <w:bCs w:val="0"/>
          <w:color w:val="000000" w:themeColor="text1"/>
          <w14:textFill>
            <w14:solidFill>
              <w14:schemeClr w14:val="tx1"/>
            </w14:solidFill>
          </w14:textFill>
        </w:rPr>
      </w:pPr>
      <w:bookmarkStart w:id="73" w:name="_Toc6400"/>
      <w:r>
        <w:rPr>
          <w:rFonts w:hint="eastAsia" w:ascii="仿宋_GB2312" w:hAnsi="仿宋_GB2312" w:eastAsia="仿宋_GB2312" w:cs="仿宋_GB2312"/>
          <w:b w:val="0"/>
          <w:bCs w:val="0"/>
          <w:color w:val="000000" w:themeColor="text1"/>
          <w14:textFill>
            <w14:solidFill>
              <w14:schemeClr w14:val="tx1"/>
            </w14:solidFill>
          </w14:textFill>
        </w:rPr>
        <w:t>一、收入支出决算总表</w:t>
      </w:r>
      <w:bookmarkEnd w:id="72"/>
      <w:bookmarkEnd w:id="73"/>
    </w:p>
    <w:p w14:paraId="3EE2EBB2">
      <w:pPr>
        <w:pStyle w:val="3"/>
        <w:pageBreakBefore w:val="0"/>
        <w:widowControl w:val="0"/>
        <w:kinsoku/>
        <w:wordWrap/>
        <w:overflowPunct/>
        <w:topLinePunct w:val="0"/>
        <w:autoSpaceDE/>
        <w:autoSpaceDN/>
        <w:bidi w:val="0"/>
        <w:adjustRightInd/>
        <w:snapToGrid/>
        <w:spacing w:before="0" w:after="0" w:line="600" w:lineRule="exact"/>
        <w:ind w:firstLine="640" w:firstLineChars="200"/>
        <w:textAlignment w:val="auto"/>
        <w:rPr>
          <w:rFonts w:hint="eastAsia" w:ascii="仿宋_GB2312" w:hAnsi="仿宋_GB2312" w:eastAsia="仿宋_GB2312" w:cs="仿宋_GB2312"/>
          <w:b w:val="0"/>
          <w:bCs w:val="0"/>
          <w:color w:val="000000" w:themeColor="text1"/>
          <w14:textFill>
            <w14:solidFill>
              <w14:schemeClr w14:val="tx1"/>
            </w14:solidFill>
          </w14:textFill>
        </w:rPr>
      </w:pPr>
      <w:bookmarkStart w:id="74" w:name="_Toc19766"/>
      <w:bookmarkStart w:id="75" w:name="_Toc15396620"/>
      <w:r>
        <w:rPr>
          <w:rFonts w:hint="eastAsia" w:ascii="仿宋_GB2312" w:hAnsi="仿宋_GB2312" w:eastAsia="仿宋_GB2312" w:cs="仿宋_GB2312"/>
          <w:b w:val="0"/>
          <w:bCs w:val="0"/>
          <w:color w:val="000000" w:themeColor="text1"/>
          <w14:textFill>
            <w14:solidFill>
              <w14:schemeClr w14:val="tx1"/>
            </w14:solidFill>
          </w14:textFill>
        </w:rPr>
        <w:t>二、收入决算表</w:t>
      </w:r>
      <w:bookmarkEnd w:id="74"/>
      <w:bookmarkEnd w:id="75"/>
    </w:p>
    <w:p w14:paraId="299862AF">
      <w:pPr>
        <w:pStyle w:val="3"/>
        <w:pageBreakBefore w:val="0"/>
        <w:widowControl w:val="0"/>
        <w:kinsoku/>
        <w:wordWrap/>
        <w:overflowPunct/>
        <w:topLinePunct w:val="0"/>
        <w:autoSpaceDE/>
        <w:autoSpaceDN/>
        <w:bidi w:val="0"/>
        <w:adjustRightInd/>
        <w:snapToGrid/>
        <w:spacing w:before="0" w:after="0" w:line="600" w:lineRule="exact"/>
        <w:ind w:firstLine="640" w:firstLineChars="200"/>
        <w:textAlignment w:val="auto"/>
        <w:rPr>
          <w:rFonts w:hint="eastAsia" w:ascii="仿宋_GB2312" w:hAnsi="仿宋_GB2312" w:eastAsia="仿宋_GB2312" w:cs="仿宋_GB2312"/>
          <w:b w:val="0"/>
          <w:bCs w:val="0"/>
          <w:color w:val="000000" w:themeColor="text1"/>
          <w14:textFill>
            <w14:solidFill>
              <w14:schemeClr w14:val="tx1"/>
            </w14:solidFill>
          </w14:textFill>
        </w:rPr>
      </w:pPr>
      <w:bookmarkStart w:id="76" w:name="_Toc26723"/>
      <w:bookmarkStart w:id="77" w:name="_Toc15396621"/>
      <w:r>
        <w:rPr>
          <w:rFonts w:hint="eastAsia" w:ascii="仿宋_GB2312" w:hAnsi="仿宋_GB2312" w:eastAsia="仿宋_GB2312" w:cs="仿宋_GB2312"/>
          <w:b w:val="0"/>
          <w:bCs w:val="0"/>
          <w:color w:val="000000" w:themeColor="text1"/>
          <w14:textFill>
            <w14:solidFill>
              <w14:schemeClr w14:val="tx1"/>
            </w14:solidFill>
          </w14:textFill>
        </w:rPr>
        <w:t>三、支出决算表</w:t>
      </w:r>
      <w:bookmarkEnd w:id="76"/>
      <w:bookmarkEnd w:id="77"/>
    </w:p>
    <w:p w14:paraId="456CB89E">
      <w:pPr>
        <w:pStyle w:val="3"/>
        <w:pageBreakBefore w:val="0"/>
        <w:widowControl w:val="0"/>
        <w:kinsoku/>
        <w:wordWrap/>
        <w:overflowPunct/>
        <w:topLinePunct w:val="0"/>
        <w:autoSpaceDE/>
        <w:autoSpaceDN/>
        <w:bidi w:val="0"/>
        <w:adjustRightInd/>
        <w:snapToGrid/>
        <w:spacing w:before="0" w:after="0" w:line="600" w:lineRule="exact"/>
        <w:ind w:firstLine="640" w:firstLineChars="200"/>
        <w:textAlignment w:val="auto"/>
        <w:rPr>
          <w:rFonts w:hint="eastAsia" w:ascii="仿宋_GB2312" w:hAnsi="仿宋_GB2312" w:eastAsia="仿宋_GB2312" w:cs="仿宋_GB2312"/>
          <w:b w:val="0"/>
          <w:bCs w:val="0"/>
          <w:color w:val="000000" w:themeColor="text1"/>
          <w14:textFill>
            <w14:solidFill>
              <w14:schemeClr w14:val="tx1"/>
            </w14:solidFill>
          </w14:textFill>
        </w:rPr>
      </w:pPr>
      <w:bookmarkStart w:id="78" w:name="_Toc15396622"/>
      <w:bookmarkStart w:id="79" w:name="_Toc29476"/>
      <w:r>
        <w:rPr>
          <w:rFonts w:hint="eastAsia" w:ascii="仿宋_GB2312" w:hAnsi="仿宋_GB2312" w:eastAsia="仿宋_GB2312" w:cs="仿宋_GB2312"/>
          <w:b w:val="0"/>
          <w:bCs w:val="0"/>
          <w:color w:val="000000" w:themeColor="text1"/>
          <w14:textFill>
            <w14:solidFill>
              <w14:schemeClr w14:val="tx1"/>
            </w14:solidFill>
          </w14:textFill>
        </w:rPr>
        <w:t>四、财政拨款收入支出决算总表</w:t>
      </w:r>
      <w:bookmarkEnd w:id="78"/>
      <w:bookmarkEnd w:id="79"/>
    </w:p>
    <w:p w14:paraId="39E5C8B5">
      <w:pPr>
        <w:pStyle w:val="3"/>
        <w:pageBreakBefore w:val="0"/>
        <w:widowControl w:val="0"/>
        <w:kinsoku/>
        <w:wordWrap/>
        <w:overflowPunct/>
        <w:topLinePunct w:val="0"/>
        <w:autoSpaceDE/>
        <w:autoSpaceDN/>
        <w:bidi w:val="0"/>
        <w:adjustRightInd/>
        <w:snapToGrid/>
        <w:spacing w:before="0" w:after="0" w:line="600" w:lineRule="exact"/>
        <w:ind w:firstLine="640" w:firstLineChars="200"/>
        <w:textAlignment w:val="auto"/>
        <w:rPr>
          <w:rFonts w:hint="eastAsia" w:ascii="仿宋_GB2312" w:hAnsi="仿宋_GB2312" w:eastAsia="仿宋_GB2312" w:cs="仿宋_GB2312"/>
          <w:b w:val="0"/>
          <w:bCs w:val="0"/>
          <w:color w:val="000000" w:themeColor="text1"/>
          <w14:textFill>
            <w14:solidFill>
              <w14:schemeClr w14:val="tx1"/>
            </w14:solidFill>
          </w14:textFill>
        </w:rPr>
      </w:pPr>
      <w:bookmarkStart w:id="80" w:name="_Toc29431"/>
      <w:bookmarkStart w:id="81" w:name="_Toc15396623"/>
      <w:r>
        <w:rPr>
          <w:rFonts w:hint="eastAsia" w:ascii="仿宋_GB2312" w:hAnsi="仿宋_GB2312" w:eastAsia="仿宋_GB2312" w:cs="仿宋_GB2312"/>
          <w:b w:val="0"/>
          <w:bCs w:val="0"/>
          <w:color w:val="000000" w:themeColor="text1"/>
          <w14:textFill>
            <w14:solidFill>
              <w14:schemeClr w14:val="tx1"/>
            </w14:solidFill>
          </w14:textFill>
        </w:rPr>
        <w:t>五、财政拨款支出决算明细表</w:t>
      </w:r>
      <w:bookmarkEnd w:id="80"/>
      <w:bookmarkEnd w:id="81"/>
      <w:bookmarkStart w:id="82" w:name="_Toc15396624"/>
    </w:p>
    <w:p w14:paraId="09CEAC4B">
      <w:pPr>
        <w:pStyle w:val="3"/>
        <w:pageBreakBefore w:val="0"/>
        <w:widowControl w:val="0"/>
        <w:kinsoku/>
        <w:wordWrap/>
        <w:overflowPunct/>
        <w:topLinePunct w:val="0"/>
        <w:autoSpaceDE/>
        <w:autoSpaceDN/>
        <w:bidi w:val="0"/>
        <w:adjustRightInd/>
        <w:snapToGrid/>
        <w:spacing w:before="0" w:after="0" w:line="600" w:lineRule="exact"/>
        <w:ind w:firstLine="640" w:firstLineChars="200"/>
        <w:textAlignment w:val="auto"/>
        <w:rPr>
          <w:rFonts w:hint="eastAsia" w:ascii="仿宋_GB2312" w:hAnsi="仿宋_GB2312" w:eastAsia="仿宋_GB2312" w:cs="仿宋_GB2312"/>
          <w:b w:val="0"/>
          <w:bCs w:val="0"/>
          <w:color w:val="000000" w:themeColor="text1"/>
          <w14:textFill>
            <w14:solidFill>
              <w14:schemeClr w14:val="tx1"/>
            </w14:solidFill>
          </w14:textFill>
        </w:rPr>
      </w:pPr>
      <w:bookmarkStart w:id="83" w:name="_Toc13418"/>
      <w:r>
        <w:rPr>
          <w:rFonts w:hint="eastAsia" w:ascii="仿宋_GB2312" w:hAnsi="仿宋_GB2312" w:eastAsia="仿宋_GB2312" w:cs="仿宋_GB2312"/>
          <w:b w:val="0"/>
          <w:bCs w:val="0"/>
          <w:color w:val="000000" w:themeColor="text1"/>
          <w14:textFill>
            <w14:solidFill>
              <w14:schemeClr w14:val="tx1"/>
            </w14:solidFill>
          </w14:textFill>
        </w:rPr>
        <w:t>六、一般公共预算财政拨款支出决算表</w:t>
      </w:r>
      <w:bookmarkEnd w:id="82"/>
      <w:bookmarkEnd w:id="83"/>
    </w:p>
    <w:p w14:paraId="46E27AEB">
      <w:pPr>
        <w:pStyle w:val="3"/>
        <w:pageBreakBefore w:val="0"/>
        <w:widowControl w:val="0"/>
        <w:kinsoku/>
        <w:wordWrap/>
        <w:overflowPunct/>
        <w:topLinePunct w:val="0"/>
        <w:autoSpaceDE/>
        <w:autoSpaceDN/>
        <w:bidi w:val="0"/>
        <w:adjustRightInd/>
        <w:snapToGrid/>
        <w:spacing w:before="0" w:after="0" w:line="600" w:lineRule="exact"/>
        <w:ind w:firstLine="640" w:firstLineChars="200"/>
        <w:textAlignment w:val="auto"/>
        <w:rPr>
          <w:rFonts w:hint="eastAsia" w:ascii="仿宋_GB2312" w:hAnsi="仿宋_GB2312" w:eastAsia="仿宋_GB2312" w:cs="仿宋_GB2312"/>
          <w:b w:val="0"/>
          <w:bCs w:val="0"/>
          <w:color w:val="000000" w:themeColor="text1"/>
          <w14:textFill>
            <w14:solidFill>
              <w14:schemeClr w14:val="tx1"/>
            </w14:solidFill>
          </w14:textFill>
        </w:rPr>
      </w:pPr>
      <w:bookmarkStart w:id="84" w:name="_Toc15396625"/>
      <w:bookmarkStart w:id="85" w:name="_Toc2493"/>
      <w:r>
        <w:rPr>
          <w:rFonts w:hint="eastAsia" w:ascii="仿宋_GB2312" w:hAnsi="仿宋_GB2312" w:eastAsia="仿宋_GB2312" w:cs="仿宋_GB2312"/>
          <w:b w:val="0"/>
          <w:bCs w:val="0"/>
          <w:color w:val="000000" w:themeColor="text1"/>
          <w14:textFill>
            <w14:solidFill>
              <w14:schemeClr w14:val="tx1"/>
            </w14:solidFill>
          </w14:textFill>
        </w:rPr>
        <w:t>七、一般公共预算财政拨款支出决算明细表</w:t>
      </w:r>
      <w:bookmarkEnd w:id="84"/>
      <w:bookmarkEnd w:id="85"/>
    </w:p>
    <w:p w14:paraId="0EFDD23A">
      <w:pPr>
        <w:pStyle w:val="3"/>
        <w:pageBreakBefore w:val="0"/>
        <w:widowControl w:val="0"/>
        <w:kinsoku/>
        <w:wordWrap/>
        <w:overflowPunct/>
        <w:topLinePunct w:val="0"/>
        <w:autoSpaceDE/>
        <w:autoSpaceDN/>
        <w:bidi w:val="0"/>
        <w:adjustRightInd/>
        <w:snapToGrid/>
        <w:spacing w:before="0" w:after="0" w:line="600" w:lineRule="exact"/>
        <w:ind w:firstLine="640" w:firstLineChars="200"/>
        <w:textAlignment w:val="auto"/>
        <w:rPr>
          <w:rFonts w:hint="eastAsia" w:ascii="仿宋_GB2312" w:hAnsi="仿宋_GB2312" w:eastAsia="仿宋_GB2312" w:cs="仿宋_GB2312"/>
          <w:b w:val="0"/>
          <w:bCs w:val="0"/>
          <w:color w:val="000000" w:themeColor="text1"/>
          <w14:textFill>
            <w14:solidFill>
              <w14:schemeClr w14:val="tx1"/>
            </w14:solidFill>
          </w14:textFill>
        </w:rPr>
      </w:pPr>
      <w:bookmarkStart w:id="86" w:name="_Toc15396626"/>
      <w:bookmarkStart w:id="87" w:name="_Toc26483"/>
      <w:r>
        <w:rPr>
          <w:rFonts w:hint="eastAsia" w:ascii="仿宋_GB2312" w:hAnsi="仿宋_GB2312" w:eastAsia="仿宋_GB2312" w:cs="仿宋_GB2312"/>
          <w:b w:val="0"/>
          <w:bCs w:val="0"/>
          <w:color w:val="000000" w:themeColor="text1"/>
          <w14:textFill>
            <w14:solidFill>
              <w14:schemeClr w14:val="tx1"/>
            </w14:solidFill>
          </w14:textFill>
        </w:rPr>
        <w:t>八、一般公共预算财政拨款基本支出决算明细表</w:t>
      </w:r>
      <w:bookmarkEnd w:id="86"/>
      <w:bookmarkEnd w:id="87"/>
    </w:p>
    <w:p w14:paraId="0AAF5C0B">
      <w:pPr>
        <w:pStyle w:val="3"/>
        <w:pageBreakBefore w:val="0"/>
        <w:widowControl w:val="0"/>
        <w:kinsoku/>
        <w:wordWrap/>
        <w:overflowPunct/>
        <w:topLinePunct w:val="0"/>
        <w:autoSpaceDE/>
        <w:autoSpaceDN/>
        <w:bidi w:val="0"/>
        <w:adjustRightInd/>
        <w:snapToGrid/>
        <w:spacing w:before="0" w:after="0" w:line="600" w:lineRule="exact"/>
        <w:ind w:firstLine="640" w:firstLineChars="200"/>
        <w:textAlignment w:val="auto"/>
        <w:rPr>
          <w:rFonts w:hint="eastAsia" w:ascii="仿宋_GB2312" w:hAnsi="仿宋_GB2312" w:eastAsia="仿宋_GB2312" w:cs="仿宋_GB2312"/>
          <w:b w:val="0"/>
          <w:bCs w:val="0"/>
          <w:color w:val="000000" w:themeColor="text1"/>
          <w14:textFill>
            <w14:solidFill>
              <w14:schemeClr w14:val="tx1"/>
            </w14:solidFill>
          </w14:textFill>
        </w:rPr>
      </w:pPr>
      <w:bookmarkStart w:id="88" w:name="_Toc30001"/>
      <w:bookmarkStart w:id="89" w:name="_Toc15396627"/>
      <w:r>
        <w:rPr>
          <w:rFonts w:hint="eastAsia" w:ascii="仿宋_GB2312" w:hAnsi="仿宋_GB2312" w:eastAsia="仿宋_GB2312" w:cs="仿宋_GB2312"/>
          <w:b w:val="0"/>
          <w:bCs w:val="0"/>
          <w:color w:val="000000" w:themeColor="text1"/>
          <w14:textFill>
            <w14:solidFill>
              <w14:schemeClr w14:val="tx1"/>
            </w14:solidFill>
          </w14:textFill>
        </w:rPr>
        <w:t>九、一般公共预算财政拨款项目支出决算表</w:t>
      </w:r>
      <w:bookmarkEnd w:id="88"/>
      <w:bookmarkEnd w:id="89"/>
    </w:p>
    <w:p w14:paraId="196F0350">
      <w:pPr>
        <w:pStyle w:val="3"/>
        <w:pageBreakBefore w:val="0"/>
        <w:widowControl w:val="0"/>
        <w:kinsoku/>
        <w:wordWrap/>
        <w:overflowPunct/>
        <w:topLinePunct w:val="0"/>
        <w:autoSpaceDE/>
        <w:autoSpaceDN/>
        <w:bidi w:val="0"/>
        <w:adjustRightInd/>
        <w:snapToGrid/>
        <w:spacing w:before="0" w:after="0" w:line="600" w:lineRule="exact"/>
        <w:ind w:firstLine="640" w:firstLineChars="200"/>
        <w:textAlignment w:val="auto"/>
        <w:rPr>
          <w:rFonts w:hint="eastAsia" w:ascii="仿宋_GB2312" w:hAnsi="仿宋_GB2312" w:eastAsia="仿宋_GB2312" w:cs="仿宋_GB2312"/>
          <w:b w:val="0"/>
          <w:bCs w:val="0"/>
          <w:color w:val="000000" w:themeColor="text1"/>
          <w14:textFill>
            <w14:solidFill>
              <w14:schemeClr w14:val="tx1"/>
            </w14:solidFill>
          </w14:textFill>
        </w:rPr>
      </w:pPr>
      <w:bookmarkStart w:id="90" w:name="_Toc15396628"/>
      <w:bookmarkStart w:id="91" w:name="_Toc22401"/>
      <w:r>
        <w:rPr>
          <w:rFonts w:hint="eastAsia" w:ascii="仿宋_GB2312" w:hAnsi="仿宋_GB2312" w:eastAsia="仿宋_GB2312" w:cs="仿宋_GB2312"/>
          <w:b w:val="0"/>
          <w:bCs w:val="0"/>
          <w:color w:val="000000" w:themeColor="text1"/>
          <w14:textFill>
            <w14:solidFill>
              <w14:schemeClr w14:val="tx1"/>
            </w14:solidFill>
          </w14:textFill>
        </w:rPr>
        <w:t>十、</w:t>
      </w:r>
      <w:bookmarkEnd w:id="90"/>
      <w:r>
        <w:rPr>
          <w:rFonts w:hint="eastAsia" w:ascii="仿宋_GB2312" w:hAnsi="仿宋_GB2312" w:eastAsia="仿宋_GB2312" w:cs="仿宋_GB2312"/>
          <w:b w:val="0"/>
          <w:bCs w:val="0"/>
          <w:color w:val="000000" w:themeColor="text1"/>
          <w14:textFill>
            <w14:solidFill>
              <w14:schemeClr w14:val="tx1"/>
            </w14:solidFill>
          </w14:textFill>
        </w:rPr>
        <w:t>政府性基金预算财政拨款收入支出决算表</w:t>
      </w:r>
      <w:bookmarkEnd w:id="91"/>
    </w:p>
    <w:p w14:paraId="1BAFD683">
      <w:pPr>
        <w:pStyle w:val="3"/>
        <w:pageBreakBefore w:val="0"/>
        <w:widowControl w:val="0"/>
        <w:kinsoku/>
        <w:wordWrap/>
        <w:overflowPunct/>
        <w:topLinePunct w:val="0"/>
        <w:autoSpaceDE/>
        <w:autoSpaceDN/>
        <w:bidi w:val="0"/>
        <w:adjustRightInd/>
        <w:snapToGrid/>
        <w:spacing w:before="0" w:after="0" w:line="600" w:lineRule="exact"/>
        <w:ind w:firstLine="640" w:firstLineChars="200"/>
        <w:textAlignment w:val="auto"/>
        <w:rPr>
          <w:rFonts w:hint="eastAsia" w:ascii="仿宋_GB2312" w:hAnsi="仿宋_GB2312" w:eastAsia="仿宋_GB2312" w:cs="仿宋_GB2312"/>
          <w:b w:val="0"/>
          <w:bCs w:val="0"/>
          <w:color w:val="000000" w:themeColor="text1"/>
          <w14:textFill>
            <w14:solidFill>
              <w14:schemeClr w14:val="tx1"/>
            </w14:solidFill>
          </w14:textFill>
        </w:rPr>
      </w:pPr>
      <w:bookmarkStart w:id="92" w:name="_Toc15396629"/>
      <w:bookmarkStart w:id="93" w:name="_Toc19814"/>
      <w:r>
        <w:rPr>
          <w:rFonts w:hint="eastAsia" w:ascii="仿宋_GB2312" w:hAnsi="仿宋_GB2312" w:eastAsia="仿宋_GB2312" w:cs="仿宋_GB2312"/>
          <w:b w:val="0"/>
          <w:bCs w:val="0"/>
          <w:color w:val="000000" w:themeColor="text1"/>
          <w14:textFill>
            <w14:solidFill>
              <w14:schemeClr w14:val="tx1"/>
            </w14:solidFill>
          </w14:textFill>
        </w:rPr>
        <w:t>十一、</w:t>
      </w:r>
      <w:bookmarkEnd w:id="92"/>
      <w:r>
        <w:rPr>
          <w:rFonts w:hint="eastAsia" w:ascii="仿宋_GB2312" w:hAnsi="仿宋_GB2312" w:eastAsia="仿宋_GB2312" w:cs="仿宋_GB2312"/>
          <w:b w:val="0"/>
          <w:bCs w:val="0"/>
          <w:color w:val="000000" w:themeColor="text1"/>
          <w14:textFill>
            <w14:solidFill>
              <w14:schemeClr w14:val="tx1"/>
            </w14:solidFill>
          </w14:textFill>
        </w:rPr>
        <w:t>国有资本经营预算财政拨款收入支出决算表</w:t>
      </w:r>
      <w:bookmarkEnd w:id="93"/>
    </w:p>
    <w:p w14:paraId="0B946865">
      <w:pPr>
        <w:pStyle w:val="3"/>
        <w:pageBreakBefore w:val="0"/>
        <w:widowControl w:val="0"/>
        <w:kinsoku/>
        <w:wordWrap/>
        <w:overflowPunct/>
        <w:topLinePunct w:val="0"/>
        <w:autoSpaceDE/>
        <w:autoSpaceDN/>
        <w:bidi w:val="0"/>
        <w:adjustRightInd/>
        <w:snapToGrid/>
        <w:spacing w:before="0" w:after="0" w:line="600" w:lineRule="exact"/>
        <w:ind w:firstLine="640" w:firstLineChars="200"/>
        <w:textAlignment w:val="auto"/>
        <w:rPr>
          <w:rFonts w:hint="eastAsia" w:ascii="仿宋_GB2312" w:hAnsi="仿宋_GB2312" w:eastAsia="仿宋_GB2312" w:cs="仿宋_GB2312"/>
          <w:b w:val="0"/>
          <w:bCs w:val="0"/>
          <w:color w:val="000000" w:themeColor="text1"/>
          <w14:textFill>
            <w14:solidFill>
              <w14:schemeClr w14:val="tx1"/>
            </w14:solidFill>
          </w14:textFill>
        </w:rPr>
      </w:pPr>
      <w:bookmarkStart w:id="94" w:name="_Toc15396630"/>
      <w:bookmarkStart w:id="95" w:name="_Toc5866"/>
      <w:r>
        <w:rPr>
          <w:rFonts w:hint="eastAsia" w:ascii="仿宋_GB2312" w:hAnsi="仿宋_GB2312" w:eastAsia="仿宋_GB2312" w:cs="仿宋_GB2312"/>
          <w:b w:val="0"/>
          <w:bCs w:val="0"/>
          <w:color w:val="000000" w:themeColor="text1"/>
          <w14:textFill>
            <w14:solidFill>
              <w14:schemeClr w14:val="tx1"/>
            </w14:solidFill>
          </w14:textFill>
        </w:rPr>
        <w:t>十二、</w:t>
      </w:r>
      <w:bookmarkEnd w:id="94"/>
      <w:r>
        <w:rPr>
          <w:rFonts w:hint="eastAsia" w:ascii="仿宋_GB2312" w:hAnsi="仿宋_GB2312" w:eastAsia="仿宋_GB2312" w:cs="仿宋_GB2312"/>
          <w:b w:val="0"/>
          <w:bCs w:val="0"/>
          <w:color w:val="000000" w:themeColor="text1"/>
          <w14:textFill>
            <w14:solidFill>
              <w14:schemeClr w14:val="tx1"/>
            </w14:solidFill>
          </w14:textFill>
        </w:rPr>
        <w:t>国有资本经营预算财政拨款支出决算表</w:t>
      </w:r>
      <w:bookmarkEnd w:id="95"/>
    </w:p>
    <w:p w14:paraId="55170322">
      <w:pPr>
        <w:pStyle w:val="3"/>
        <w:pageBreakBefore w:val="0"/>
        <w:widowControl w:val="0"/>
        <w:kinsoku/>
        <w:wordWrap/>
        <w:overflowPunct/>
        <w:topLinePunct w:val="0"/>
        <w:autoSpaceDE/>
        <w:autoSpaceDN/>
        <w:bidi w:val="0"/>
        <w:adjustRightInd/>
        <w:snapToGrid/>
        <w:spacing w:before="0" w:after="0" w:line="600" w:lineRule="exact"/>
        <w:ind w:firstLine="640" w:firstLineChars="200"/>
        <w:textAlignment w:val="auto"/>
        <w:rPr>
          <w:rFonts w:hint="eastAsia" w:ascii="仿宋_GB2312" w:hAnsi="仿宋_GB2312" w:eastAsia="仿宋_GB2312" w:cs="仿宋_GB2312"/>
          <w:b w:val="0"/>
          <w:bCs w:val="0"/>
          <w:color w:val="000000" w:themeColor="text1"/>
          <w14:textFill>
            <w14:solidFill>
              <w14:schemeClr w14:val="tx1"/>
            </w14:solidFill>
          </w14:textFill>
        </w:rPr>
      </w:pPr>
      <w:bookmarkStart w:id="96" w:name="_Toc15396631"/>
      <w:bookmarkStart w:id="97" w:name="_Toc29625"/>
      <w:r>
        <w:rPr>
          <w:rFonts w:hint="eastAsia" w:ascii="仿宋_GB2312" w:hAnsi="仿宋_GB2312" w:eastAsia="仿宋_GB2312" w:cs="仿宋_GB2312"/>
          <w:b w:val="0"/>
          <w:bCs w:val="0"/>
          <w:color w:val="000000" w:themeColor="text1"/>
          <w14:textFill>
            <w14:solidFill>
              <w14:schemeClr w14:val="tx1"/>
            </w14:solidFill>
          </w14:textFill>
        </w:rPr>
        <w:t>十三、</w:t>
      </w:r>
      <w:bookmarkEnd w:id="96"/>
      <w:r>
        <w:rPr>
          <w:rFonts w:hint="eastAsia" w:ascii="仿宋_GB2312" w:hAnsi="仿宋_GB2312" w:eastAsia="仿宋_GB2312" w:cs="仿宋_GB2312"/>
          <w:b w:val="0"/>
          <w:bCs w:val="0"/>
          <w:color w:val="000000" w:themeColor="text1"/>
          <w14:textFill>
            <w14:solidFill>
              <w14:schemeClr w14:val="tx1"/>
            </w14:solidFill>
          </w14:textFill>
        </w:rPr>
        <w:t>财政拨款“三公”经费支出决算表</w:t>
      </w:r>
      <w:bookmarkEnd w:id="97"/>
    </w:p>
    <w:p w14:paraId="2F481B93">
      <w:pPr>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color w:val="000000" w:themeColor="text1"/>
          <w14:textFill>
            <w14:solidFill>
              <w14:schemeClr w14:val="tx1"/>
            </w14:solidFill>
          </w14:textFill>
        </w:rPr>
      </w:pPr>
    </w:p>
    <w:sectPr>
      <w:footerReference r:id="rId5" w:type="default"/>
      <w:pgSz w:w="11906" w:h="16838"/>
      <w:pgMar w:top="1440" w:right="1800" w:bottom="1440" w:left="1800" w:header="851" w:footer="992"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1E0D41A8-C4F1-4CBB-8184-7D4460C10C79}"/>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方正小标宋_GBK">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embedRegular r:id="rId2" w:fontKey="{78761A4A-8582-4BFA-885F-D297F66AD9ED}"/>
  </w:font>
  <w:font w:name="仿宋">
    <w:panose1 w:val="02010609060101010101"/>
    <w:charset w:val="86"/>
    <w:family w:val="modern"/>
    <w:pitch w:val="default"/>
    <w:sig w:usb0="800002BF" w:usb1="38CF7CFA" w:usb2="00000016" w:usb3="00000000" w:csb0="00040001" w:csb1="00000000"/>
    <w:embedRegular r:id="rId3" w:fontKey="{EB8E51F4-B9FF-4E4A-8201-9393660DCB02}"/>
  </w:font>
  <w:font w:name="??">
    <w:altName w:val="Segoe Print"/>
    <w:panose1 w:val="00000000000000000000"/>
    <w:charset w:val="00"/>
    <w:family w:val="roman"/>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方正小标宋简体">
    <w:panose1 w:val="03000509000000000000"/>
    <w:charset w:val="86"/>
    <w:family w:val="auto"/>
    <w:pitch w:val="default"/>
    <w:sig w:usb0="00000001" w:usb1="080E0000" w:usb2="00000000" w:usb3="00000000" w:csb0="00040000" w:csb1="00000000"/>
    <w:embedRegular r:id="rId4" w:fontKey="{C30AE410-77A5-47BE-8A6C-E1CD3EFE5698}"/>
  </w:font>
  <w:font w:name="方正仿宋_GB2312">
    <w:panose1 w:val="02000000000000000000"/>
    <w:charset w:val="86"/>
    <w:family w:val="auto"/>
    <w:pitch w:val="default"/>
    <w:sig w:usb0="A00002BF" w:usb1="184F6CFA" w:usb2="00000012" w:usb3="00000000" w:csb0="00040001" w:csb1="00000000"/>
    <w:embedRegular r:id="rId5" w:fontKey="{3306CE5F-AB3F-49BE-B814-FC9D0BACCB11}"/>
  </w:font>
  <w:font w:name="楷体_GB2312">
    <w:panose1 w:val="02010609030101010101"/>
    <w:charset w:val="86"/>
    <w:family w:val="modern"/>
    <w:pitch w:val="default"/>
    <w:sig w:usb0="00000001" w:usb1="080E0000" w:usb2="00000000" w:usb3="00000000" w:csb0="00040000" w:csb1="00000000"/>
    <w:embedRegular r:id="rId6" w:fontKey="{C16666E6-9A70-4823-BBD8-84D245AB871D}"/>
  </w:font>
  <w:font w:name="WPSEMBED1">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8F40CC">
    <w:pPr>
      <w:pStyle w:val="11"/>
      <w:jc w:val="center"/>
    </w:pPr>
  </w:p>
  <w:p w14:paraId="28205747">
    <w:pPr>
      <w:pStyle w:val="11"/>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27B575">
    <w:pPr>
      <w:pStyle w:val="11"/>
      <w:jc w:val="center"/>
    </w:pPr>
    <w:r>
      <mc:AlternateContent>
        <mc:Choice Requires="wps">
          <w:drawing>
            <wp:anchor distT="0" distB="0" distL="114300" distR="114300" simplePos="0" relativeHeight="251659264" behindDoc="0" locked="0" layoutInCell="1" allowOverlap="1">
              <wp:simplePos x="0" y="0"/>
              <wp:positionH relativeFrom="margin">
                <wp:align>inside</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52DFF14">
                          <w:pPr>
                            <w:pStyle w:val="11"/>
                            <w:rPr>
                              <w:rFonts w:ascii="宋体" w:hAnsi="宋体" w:cs="宋体"/>
                              <w:sz w:val="28"/>
                              <w:szCs w:val="28"/>
                            </w:rPr>
                          </w:pPr>
                          <w:r>
                            <w:rPr>
                              <w:rFonts w:hint="eastAsia" w:ascii="宋体" w:hAnsi="宋体" w:cs="宋体"/>
                              <w:sz w:val="28"/>
                              <w:szCs w:val="28"/>
                            </w:rPr>
                            <w:t xml:space="preserve">— </w:t>
                          </w: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58</w:t>
                          </w:r>
                          <w:r>
                            <w:rPr>
                              <w:rFonts w:hint="eastAsia" w:ascii="宋体" w:hAnsi="宋体" w:cs="宋体"/>
                              <w:sz w:val="28"/>
                              <w:szCs w:val="28"/>
                            </w:rPr>
                            <w:fldChar w:fldCharType="end"/>
                          </w:r>
                          <w:r>
                            <w:rPr>
                              <w:rFonts w:hint="eastAsia" w:ascii="宋体" w:hAnsi="宋体" w:cs="宋体"/>
                              <w:sz w:val="28"/>
                              <w:szCs w:val="28"/>
                            </w:rP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in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K+3r1iwCAABXBAAADgAAAAAAAAABACAAAAAfAQAAZHJzL2Uyb0RvYy54bWxQSwUGAAAAAAYA&#10;BgBZAQAAvQUAAAAA&#10;">
              <v:fill on="f" focussize="0,0"/>
              <v:stroke on="f" weight="0.5pt"/>
              <v:imagedata o:title=""/>
              <o:lock v:ext="edit" aspectratio="f"/>
              <v:textbox inset="0mm,0mm,0mm,0mm" style="mso-fit-shape-to-text:t;">
                <w:txbxContent>
                  <w:p w14:paraId="152DFF14">
                    <w:pPr>
                      <w:pStyle w:val="11"/>
                      <w:rPr>
                        <w:rFonts w:ascii="宋体" w:hAnsi="宋体" w:cs="宋体"/>
                        <w:sz w:val="28"/>
                        <w:szCs w:val="28"/>
                      </w:rPr>
                    </w:pPr>
                    <w:r>
                      <w:rPr>
                        <w:rFonts w:hint="eastAsia" w:ascii="宋体" w:hAnsi="宋体" w:cs="宋体"/>
                        <w:sz w:val="28"/>
                        <w:szCs w:val="28"/>
                      </w:rPr>
                      <w:t xml:space="preserve">— </w:t>
                    </w: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58</w:t>
                    </w:r>
                    <w:r>
                      <w:rPr>
                        <w:rFonts w:hint="eastAsia" w:ascii="宋体" w:hAnsi="宋体" w:cs="宋体"/>
                        <w:sz w:val="28"/>
                        <w:szCs w:val="28"/>
                      </w:rPr>
                      <w:fldChar w:fldCharType="end"/>
                    </w:r>
                    <w:r>
                      <w:rPr>
                        <w:rFonts w:hint="eastAsia" w:ascii="宋体" w:hAnsi="宋体" w:cs="宋体"/>
                        <w:sz w:val="28"/>
                        <w:szCs w:val="28"/>
                      </w:rPr>
                      <w:t xml:space="preserve"> —</w:t>
                    </w:r>
                  </w:p>
                </w:txbxContent>
              </v:textbox>
            </v:shape>
          </w:pict>
        </mc:Fallback>
      </mc:AlternateContent>
    </w:r>
  </w:p>
  <w:p w14:paraId="2CD348E0">
    <w:pPr>
      <w:pStyle w:val="11"/>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04B097">
    <w:pPr>
      <w:pStyle w:val="12"/>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1070AA3"/>
    <w:multiLevelType w:val="singleLevel"/>
    <w:tmpl w:val="21070AA3"/>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0"/>
  <w:embedTrueTypeFonts/>
  <w:saveSubsetFonts/>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361C"/>
    <w:rsid w:val="00017A1A"/>
    <w:rsid w:val="000222C6"/>
    <w:rsid w:val="0002549F"/>
    <w:rsid w:val="000468DB"/>
    <w:rsid w:val="0006487A"/>
    <w:rsid w:val="00065F8F"/>
    <w:rsid w:val="00070A43"/>
    <w:rsid w:val="000768F2"/>
    <w:rsid w:val="0009184B"/>
    <w:rsid w:val="00094236"/>
    <w:rsid w:val="0009593C"/>
    <w:rsid w:val="00097322"/>
    <w:rsid w:val="000A6A92"/>
    <w:rsid w:val="000B047F"/>
    <w:rsid w:val="000B5923"/>
    <w:rsid w:val="000B5A48"/>
    <w:rsid w:val="000B6FF3"/>
    <w:rsid w:val="000C3467"/>
    <w:rsid w:val="000C3CA6"/>
    <w:rsid w:val="000D1267"/>
    <w:rsid w:val="000D1D50"/>
    <w:rsid w:val="000D5782"/>
    <w:rsid w:val="000E6613"/>
    <w:rsid w:val="000E7119"/>
    <w:rsid w:val="00114E9B"/>
    <w:rsid w:val="0012040D"/>
    <w:rsid w:val="00142216"/>
    <w:rsid w:val="00144D6A"/>
    <w:rsid w:val="0014729F"/>
    <w:rsid w:val="00157BAB"/>
    <w:rsid w:val="001654D1"/>
    <w:rsid w:val="00174518"/>
    <w:rsid w:val="0018106D"/>
    <w:rsid w:val="001877A7"/>
    <w:rsid w:val="00191536"/>
    <w:rsid w:val="00196687"/>
    <w:rsid w:val="00196F43"/>
    <w:rsid w:val="001C0962"/>
    <w:rsid w:val="001D7531"/>
    <w:rsid w:val="001E737D"/>
    <w:rsid w:val="001F0592"/>
    <w:rsid w:val="001F7506"/>
    <w:rsid w:val="002006CD"/>
    <w:rsid w:val="00202B36"/>
    <w:rsid w:val="00204B7A"/>
    <w:rsid w:val="00204CDE"/>
    <w:rsid w:val="0021101A"/>
    <w:rsid w:val="00213CF6"/>
    <w:rsid w:val="00220536"/>
    <w:rsid w:val="00225B4F"/>
    <w:rsid w:val="00235629"/>
    <w:rsid w:val="00260C38"/>
    <w:rsid w:val="002616C0"/>
    <w:rsid w:val="002630BB"/>
    <w:rsid w:val="00265372"/>
    <w:rsid w:val="002662AA"/>
    <w:rsid w:val="00280496"/>
    <w:rsid w:val="00294DC9"/>
    <w:rsid w:val="00295495"/>
    <w:rsid w:val="002A31DE"/>
    <w:rsid w:val="002B2613"/>
    <w:rsid w:val="002D6D05"/>
    <w:rsid w:val="002F1818"/>
    <w:rsid w:val="002F567B"/>
    <w:rsid w:val="003216A9"/>
    <w:rsid w:val="00323A88"/>
    <w:rsid w:val="00335A74"/>
    <w:rsid w:val="003550AC"/>
    <w:rsid w:val="0036561B"/>
    <w:rsid w:val="0037013F"/>
    <w:rsid w:val="00380C92"/>
    <w:rsid w:val="003A484F"/>
    <w:rsid w:val="003A4883"/>
    <w:rsid w:val="003B0BE0"/>
    <w:rsid w:val="003B0C1B"/>
    <w:rsid w:val="003B688C"/>
    <w:rsid w:val="003C0291"/>
    <w:rsid w:val="003C39AE"/>
    <w:rsid w:val="003C7B60"/>
    <w:rsid w:val="003D0C0F"/>
    <w:rsid w:val="003D1FB2"/>
    <w:rsid w:val="003D66DA"/>
    <w:rsid w:val="003E1310"/>
    <w:rsid w:val="003E6F55"/>
    <w:rsid w:val="00406254"/>
    <w:rsid w:val="004223DE"/>
    <w:rsid w:val="00434489"/>
    <w:rsid w:val="00437085"/>
    <w:rsid w:val="00443880"/>
    <w:rsid w:val="004464F4"/>
    <w:rsid w:val="00450166"/>
    <w:rsid w:val="00471401"/>
    <w:rsid w:val="00473F31"/>
    <w:rsid w:val="0048263A"/>
    <w:rsid w:val="00487E5D"/>
    <w:rsid w:val="004A711F"/>
    <w:rsid w:val="004B199D"/>
    <w:rsid w:val="004B4690"/>
    <w:rsid w:val="004E0A2D"/>
    <w:rsid w:val="004E206B"/>
    <w:rsid w:val="004E6DF7"/>
    <w:rsid w:val="004F0FBD"/>
    <w:rsid w:val="004F318C"/>
    <w:rsid w:val="00505A47"/>
    <w:rsid w:val="00512FDA"/>
    <w:rsid w:val="00520DA0"/>
    <w:rsid w:val="00523EB0"/>
    <w:rsid w:val="005664BB"/>
    <w:rsid w:val="00566FFA"/>
    <w:rsid w:val="0057481D"/>
    <w:rsid w:val="0058486E"/>
    <w:rsid w:val="00585B33"/>
    <w:rsid w:val="0059014D"/>
    <w:rsid w:val="005B5C64"/>
    <w:rsid w:val="005C4D2E"/>
    <w:rsid w:val="005C5337"/>
    <w:rsid w:val="005C6BD0"/>
    <w:rsid w:val="005D1C8B"/>
    <w:rsid w:val="005D468D"/>
    <w:rsid w:val="005D5CED"/>
    <w:rsid w:val="005F1A4C"/>
    <w:rsid w:val="00605688"/>
    <w:rsid w:val="006070AF"/>
    <w:rsid w:val="00607E6C"/>
    <w:rsid w:val="006101B1"/>
    <w:rsid w:val="00614E44"/>
    <w:rsid w:val="0062270A"/>
    <w:rsid w:val="00622830"/>
    <w:rsid w:val="00623DA0"/>
    <w:rsid w:val="00630AEF"/>
    <w:rsid w:val="006325F8"/>
    <w:rsid w:val="00633463"/>
    <w:rsid w:val="00634C9A"/>
    <w:rsid w:val="00641E35"/>
    <w:rsid w:val="006440E4"/>
    <w:rsid w:val="0066343B"/>
    <w:rsid w:val="00664777"/>
    <w:rsid w:val="006671DB"/>
    <w:rsid w:val="006748A4"/>
    <w:rsid w:val="00681A31"/>
    <w:rsid w:val="00683E73"/>
    <w:rsid w:val="006A3141"/>
    <w:rsid w:val="006A5E34"/>
    <w:rsid w:val="006B2422"/>
    <w:rsid w:val="006B2B9A"/>
    <w:rsid w:val="006C1937"/>
    <w:rsid w:val="006F020C"/>
    <w:rsid w:val="00702439"/>
    <w:rsid w:val="007127B7"/>
    <w:rsid w:val="0071798E"/>
    <w:rsid w:val="007416B6"/>
    <w:rsid w:val="00746F48"/>
    <w:rsid w:val="0075404D"/>
    <w:rsid w:val="0076182A"/>
    <w:rsid w:val="00762286"/>
    <w:rsid w:val="00767B7E"/>
    <w:rsid w:val="007770C3"/>
    <w:rsid w:val="00784D24"/>
    <w:rsid w:val="00785FBA"/>
    <w:rsid w:val="00786E4A"/>
    <w:rsid w:val="007875EB"/>
    <w:rsid w:val="0079426B"/>
    <w:rsid w:val="007D1682"/>
    <w:rsid w:val="007D312A"/>
    <w:rsid w:val="007D3F19"/>
    <w:rsid w:val="007E23B0"/>
    <w:rsid w:val="007E23E5"/>
    <w:rsid w:val="007F1991"/>
    <w:rsid w:val="007F2C2F"/>
    <w:rsid w:val="007F55FC"/>
    <w:rsid w:val="007F5665"/>
    <w:rsid w:val="007F6C6F"/>
    <w:rsid w:val="00800112"/>
    <w:rsid w:val="00813348"/>
    <w:rsid w:val="008253BB"/>
    <w:rsid w:val="0083706E"/>
    <w:rsid w:val="008408F6"/>
    <w:rsid w:val="008423A5"/>
    <w:rsid w:val="00850625"/>
    <w:rsid w:val="00853718"/>
    <w:rsid w:val="00855221"/>
    <w:rsid w:val="00860645"/>
    <w:rsid w:val="00871F71"/>
    <w:rsid w:val="00872FD8"/>
    <w:rsid w:val="00885AF4"/>
    <w:rsid w:val="008939CD"/>
    <w:rsid w:val="008B768C"/>
    <w:rsid w:val="008C4DB1"/>
    <w:rsid w:val="008C4EAF"/>
    <w:rsid w:val="008C5176"/>
    <w:rsid w:val="008C7FD0"/>
    <w:rsid w:val="008E1DE7"/>
    <w:rsid w:val="008E707C"/>
    <w:rsid w:val="00900B08"/>
    <w:rsid w:val="00902155"/>
    <w:rsid w:val="00902FA3"/>
    <w:rsid w:val="00920750"/>
    <w:rsid w:val="00923564"/>
    <w:rsid w:val="0092392E"/>
    <w:rsid w:val="009315F9"/>
    <w:rsid w:val="00933499"/>
    <w:rsid w:val="00935C98"/>
    <w:rsid w:val="00946945"/>
    <w:rsid w:val="00951248"/>
    <w:rsid w:val="0095152F"/>
    <w:rsid w:val="00954C49"/>
    <w:rsid w:val="00955E37"/>
    <w:rsid w:val="0097099F"/>
    <w:rsid w:val="00971997"/>
    <w:rsid w:val="00971FFC"/>
    <w:rsid w:val="0098660A"/>
    <w:rsid w:val="009931C3"/>
    <w:rsid w:val="009B2C43"/>
    <w:rsid w:val="009B4EAE"/>
    <w:rsid w:val="009B7573"/>
    <w:rsid w:val="009C22F4"/>
    <w:rsid w:val="009C2A4B"/>
    <w:rsid w:val="009C2E98"/>
    <w:rsid w:val="009D3447"/>
    <w:rsid w:val="009D4711"/>
    <w:rsid w:val="009F1185"/>
    <w:rsid w:val="009F18CD"/>
    <w:rsid w:val="009F2A13"/>
    <w:rsid w:val="009F7527"/>
    <w:rsid w:val="00A04EB0"/>
    <w:rsid w:val="00A105F5"/>
    <w:rsid w:val="00A13CC1"/>
    <w:rsid w:val="00A16847"/>
    <w:rsid w:val="00A237D8"/>
    <w:rsid w:val="00A268C4"/>
    <w:rsid w:val="00A307CD"/>
    <w:rsid w:val="00A331C8"/>
    <w:rsid w:val="00A40A00"/>
    <w:rsid w:val="00A4142F"/>
    <w:rsid w:val="00A422EB"/>
    <w:rsid w:val="00A45BB7"/>
    <w:rsid w:val="00A56DF2"/>
    <w:rsid w:val="00A56E6E"/>
    <w:rsid w:val="00A67AB5"/>
    <w:rsid w:val="00A733B2"/>
    <w:rsid w:val="00A741C2"/>
    <w:rsid w:val="00A82756"/>
    <w:rsid w:val="00A91760"/>
    <w:rsid w:val="00A93B00"/>
    <w:rsid w:val="00A93C21"/>
    <w:rsid w:val="00AB35C0"/>
    <w:rsid w:val="00AB64C9"/>
    <w:rsid w:val="00AC3C6A"/>
    <w:rsid w:val="00AD5620"/>
    <w:rsid w:val="00AD656B"/>
    <w:rsid w:val="00AD7C1B"/>
    <w:rsid w:val="00AE16BA"/>
    <w:rsid w:val="00AE1EBE"/>
    <w:rsid w:val="00B03C9D"/>
    <w:rsid w:val="00B060AE"/>
    <w:rsid w:val="00B10517"/>
    <w:rsid w:val="00B14E76"/>
    <w:rsid w:val="00B161B8"/>
    <w:rsid w:val="00B2048C"/>
    <w:rsid w:val="00B310B9"/>
    <w:rsid w:val="00B32474"/>
    <w:rsid w:val="00B35F3F"/>
    <w:rsid w:val="00B36CBB"/>
    <w:rsid w:val="00B425E0"/>
    <w:rsid w:val="00B440AA"/>
    <w:rsid w:val="00B44B70"/>
    <w:rsid w:val="00B53C56"/>
    <w:rsid w:val="00B53DDC"/>
    <w:rsid w:val="00B57DAF"/>
    <w:rsid w:val="00B71F65"/>
    <w:rsid w:val="00B77EA6"/>
    <w:rsid w:val="00B81598"/>
    <w:rsid w:val="00B841F1"/>
    <w:rsid w:val="00B944D6"/>
    <w:rsid w:val="00BA3803"/>
    <w:rsid w:val="00BB4DF0"/>
    <w:rsid w:val="00BC289F"/>
    <w:rsid w:val="00BC2D50"/>
    <w:rsid w:val="00BC5361"/>
    <w:rsid w:val="00BC5460"/>
    <w:rsid w:val="00BC6B50"/>
    <w:rsid w:val="00BD0E25"/>
    <w:rsid w:val="00BF5BD6"/>
    <w:rsid w:val="00C03E31"/>
    <w:rsid w:val="00C33E72"/>
    <w:rsid w:val="00C354B2"/>
    <w:rsid w:val="00C35554"/>
    <w:rsid w:val="00C42709"/>
    <w:rsid w:val="00C533CC"/>
    <w:rsid w:val="00C5751C"/>
    <w:rsid w:val="00C61BFC"/>
    <w:rsid w:val="00C621A8"/>
    <w:rsid w:val="00C62B85"/>
    <w:rsid w:val="00C65438"/>
    <w:rsid w:val="00C87FD8"/>
    <w:rsid w:val="00C91381"/>
    <w:rsid w:val="00C91CBB"/>
    <w:rsid w:val="00CB4E70"/>
    <w:rsid w:val="00CC09B6"/>
    <w:rsid w:val="00CC666F"/>
    <w:rsid w:val="00CD1E3F"/>
    <w:rsid w:val="00CE44F6"/>
    <w:rsid w:val="00CE49DA"/>
    <w:rsid w:val="00CE7B61"/>
    <w:rsid w:val="00D00095"/>
    <w:rsid w:val="00D114F0"/>
    <w:rsid w:val="00D20620"/>
    <w:rsid w:val="00D254F7"/>
    <w:rsid w:val="00D26091"/>
    <w:rsid w:val="00D2685C"/>
    <w:rsid w:val="00D34E7C"/>
    <w:rsid w:val="00D35489"/>
    <w:rsid w:val="00D36AFE"/>
    <w:rsid w:val="00D51276"/>
    <w:rsid w:val="00D5594C"/>
    <w:rsid w:val="00D7035F"/>
    <w:rsid w:val="00D85ABF"/>
    <w:rsid w:val="00DA634F"/>
    <w:rsid w:val="00DA65AC"/>
    <w:rsid w:val="00DB1913"/>
    <w:rsid w:val="00DC410D"/>
    <w:rsid w:val="00DC5A81"/>
    <w:rsid w:val="00DC68CA"/>
    <w:rsid w:val="00DC7CBA"/>
    <w:rsid w:val="00DD73B7"/>
    <w:rsid w:val="00DF28BC"/>
    <w:rsid w:val="00DF34B9"/>
    <w:rsid w:val="00E01053"/>
    <w:rsid w:val="00E07ACF"/>
    <w:rsid w:val="00E331A1"/>
    <w:rsid w:val="00E33202"/>
    <w:rsid w:val="00E336A9"/>
    <w:rsid w:val="00E371FE"/>
    <w:rsid w:val="00E472B1"/>
    <w:rsid w:val="00E50624"/>
    <w:rsid w:val="00E54633"/>
    <w:rsid w:val="00E568DF"/>
    <w:rsid w:val="00E64269"/>
    <w:rsid w:val="00E82267"/>
    <w:rsid w:val="00E853CE"/>
    <w:rsid w:val="00E867B6"/>
    <w:rsid w:val="00EA010F"/>
    <w:rsid w:val="00ED1B63"/>
    <w:rsid w:val="00ED3C1F"/>
    <w:rsid w:val="00ED4085"/>
    <w:rsid w:val="00ED420E"/>
    <w:rsid w:val="00ED6FBE"/>
    <w:rsid w:val="00EE2F57"/>
    <w:rsid w:val="00EF4C34"/>
    <w:rsid w:val="00EF77C6"/>
    <w:rsid w:val="00F05438"/>
    <w:rsid w:val="00F1361C"/>
    <w:rsid w:val="00F156F0"/>
    <w:rsid w:val="00F160C7"/>
    <w:rsid w:val="00F2408F"/>
    <w:rsid w:val="00F240E9"/>
    <w:rsid w:val="00F36D8F"/>
    <w:rsid w:val="00F417B1"/>
    <w:rsid w:val="00F45853"/>
    <w:rsid w:val="00F602DF"/>
    <w:rsid w:val="00F754A1"/>
    <w:rsid w:val="00F81FD9"/>
    <w:rsid w:val="00F841AA"/>
    <w:rsid w:val="00F84A94"/>
    <w:rsid w:val="00F87E96"/>
    <w:rsid w:val="00F9432B"/>
    <w:rsid w:val="00FA23E8"/>
    <w:rsid w:val="00FC09F3"/>
    <w:rsid w:val="00FD3CC1"/>
    <w:rsid w:val="00FF1E02"/>
    <w:rsid w:val="00FF30B4"/>
    <w:rsid w:val="01084EDF"/>
    <w:rsid w:val="01113D6B"/>
    <w:rsid w:val="0129233D"/>
    <w:rsid w:val="012A4E2C"/>
    <w:rsid w:val="012D2227"/>
    <w:rsid w:val="01487061"/>
    <w:rsid w:val="01527921"/>
    <w:rsid w:val="015975B8"/>
    <w:rsid w:val="016245C6"/>
    <w:rsid w:val="01710365"/>
    <w:rsid w:val="0194674A"/>
    <w:rsid w:val="01A23516"/>
    <w:rsid w:val="01A93FA3"/>
    <w:rsid w:val="01C34939"/>
    <w:rsid w:val="01F01BD2"/>
    <w:rsid w:val="01F64D0F"/>
    <w:rsid w:val="01FF3BC3"/>
    <w:rsid w:val="020531A4"/>
    <w:rsid w:val="02111B48"/>
    <w:rsid w:val="021138F7"/>
    <w:rsid w:val="02195EE9"/>
    <w:rsid w:val="022C6982"/>
    <w:rsid w:val="02317B1B"/>
    <w:rsid w:val="024617F2"/>
    <w:rsid w:val="025D4D8E"/>
    <w:rsid w:val="026522DA"/>
    <w:rsid w:val="02832A46"/>
    <w:rsid w:val="029562D6"/>
    <w:rsid w:val="02A76009"/>
    <w:rsid w:val="02C60B85"/>
    <w:rsid w:val="02C95F7F"/>
    <w:rsid w:val="02CB1CF7"/>
    <w:rsid w:val="02D432A2"/>
    <w:rsid w:val="02D45050"/>
    <w:rsid w:val="02E21CEA"/>
    <w:rsid w:val="02E903CF"/>
    <w:rsid w:val="02FEBE30"/>
    <w:rsid w:val="0313544C"/>
    <w:rsid w:val="03166751"/>
    <w:rsid w:val="031A67DB"/>
    <w:rsid w:val="03261624"/>
    <w:rsid w:val="03433F84"/>
    <w:rsid w:val="034675D0"/>
    <w:rsid w:val="03766107"/>
    <w:rsid w:val="037B196F"/>
    <w:rsid w:val="038A7E04"/>
    <w:rsid w:val="0394658D"/>
    <w:rsid w:val="039B5B6E"/>
    <w:rsid w:val="039C2178"/>
    <w:rsid w:val="03B10EED"/>
    <w:rsid w:val="03B86720"/>
    <w:rsid w:val="03D41080"/>
    <w:rsid w:val="03D90444"/>
    <w:rsid w:val="04082AD7"/>
    <w:rsid w:val="041B280B"/>
    <w:rsid w:val="041B6CAE"/>
    <w:rsid w:val="04284503"/>
    <w:rsid w:val="04455AD9"/>
    <w:rsid w:val="04497378"/>
    <w:rsid w:val="046046C1"/>
    <w:rsid w:val="049367C7"/>
    <w:rsid w:val="04A70542"/>
    <w:rsid w:val="04FC6AE0"/>
    <w:rsid w:val="04FF212C"/>
    <w:rsid w:val="052A53FB"/>
    <w:rsid w:val="05527330"/>
    <w:rsid w:val="0559183C"/>
    <w:rsid w:val="056B77C2"/>
    <w:rsid w:val="05747309"/>
    <w:rsid w:val="057A1A3A"/>
    <w:rsid w:val="057E12A3"/>
    <w:rsid w:val="061A5470"/>
    <w:rsid w:val="061E35DE"/>
    <w:rsid w:val="063876A4"/>
    <w:rsid w:val="06530982"/>
    <w:rsid w:val="065A3ABE"/>
    <w:rsid w:val="06695AAF"/>
    <w:rsid w:val="066E0107"/>
    <w:rsid w:val="06A0349B"/>
    <w:rsid w:val="06A64F55"/>
    <w:rsid w:val="06AD422C"/>
    <w:rsid w:val="06E127B1"/>
    <w:rsid w:val="06F061D0"/>
    <w:rsid w:val="06F07F7E"/>
    <w:rsid w:val="070820B5"/>
    <w:rsid w:val="07126147"/>
    <w:rsid w:val="07181283"/>
    <w:rsid w:val="071D689A"/>
    <w:rsid w:val="07322345"/>
    <w:rsid w:val="07500A1D"/>
    <w:rsid w:val="075671B9"/>
    <w:rsid w:val="07585B24"/>
    <w:rsid w:val="075C5614"/>
    <w:rsid w:val="0768045D"/>
    <w:rsid w:val="07750484"/>
    <w:rsid w:val="077E37DC"/>
    <w:rsid w:val="07831861"/>
    <w:rsid w:val="079254DA"/>
    <w:rsid w:val="07996F6E"/>
    <w:rsid w:val="079C1EB4"/>
    <w:rsid w:val="07B92E8A"/>
    <w:rsid w:val="07DFD8BA"/>
    <w:rsid w:val="080A1514"/>
    <w:rsid w:val="08202AE5"/>
    <w:rsid w:val="08395955"/>
    <w:rsid w:val="089D7C92"/>
    <w:rsid w:val="08A94889"/>
    <w:rsid w:val="08B5322E"/>
    <w:rsid w:val="08BD0334"/>
    <w:rsid w:val="08CE609D"/>
    <w:rsid w:val="08D15B8E"/>
    <w:rsid w:val="08D223D4"/>
    <w:rsid w:val="08D330F5"/>
    <w:rsid w:val="08DA0EE6"/>
    <w:rsid w:val="08DB07E4"/>
    <w:rsid w:val="08F5187C"/>
    <w:rsid w:val="09307A26"/>
    <w:rsid w:val="09414AC1"/>
    <w:rsid w:val="094C3466"/>
    <w:rsid w:val="0958005D"/>
    <w:rsid w:val="095A7C8D"/>
    <w:rsid w:val="095F13EB"/>
    <w:rsid w:val="0969226A"/>
    <w:rsid w:val="09867E8F"/>
    <w:rsid w:val="098D7D07"/>
    <w:rsid w:val="099077F7"/>
    <w:rsid w:val="09AB2883"/>
    <w:rsid w:val="09B74D83"/>
    <w:rsid w:val="09BC683E"/>
    <w:rsid w:val="09C63853"/>
    <w:rsid w:val="09F36FDE"/>
    <w:rsid w:val="0A122902"/>
    <w:rsid w:val="0A1E12A6"/>
    <w:rsid w:val="0A1E4E03"/>
    <w:rsid w:val="0A2032A3"/>
    <w:rsid w:val="0A2A19F9"/>
    <w:rsid w:val="0A3E36F7"/>
    <w:rsid w:val="0A410AF1"/>
    <w:rsid w:val="0A6010E9"/>
    <w:rsid w:val="0A636CB9"/>
    <w:rsid w:val="0A851326"/>
    <w:rsid w:val="0A984BB5"/>
    <w:rsid w:val="0A9D666F"/>
    <w:rsid w:val="0AB1211B"/>
    <w:rsid w:val="0AB3379D"/>
    <w:rsid w:val="0AC52104"/>
    <w:rsid w:val="0AEB73DB"/>
    <w:rsid w:val="0AEC6CAF"/>
    <w:rsid w:val="0AF67B2D"/>
    <w:rsid w:val="0AFE1C93"/>
    <w:rsid w:val="0B097861"/>
    <w:rsid w:val="0B0C55A3"/>
    <w:rsid w:val="0B23083E"/>
    <w:rsid w:val="0B233797"/>
    <w:rsid w:val="0B2621C1"/>
    <w:rsid w:val="0B301291"/>
    <w:rsid w:val="0B3F59DA"/>
    <w:rsid w:val="0B537F25"/>
    <w:rsid w:val="0B5807E8"/>
    <w:rsid w:val="0B7A075E"/>
    <w:rsid w:val="0B7C00BE"/>
    <w:rsid w:val="0B815649"/>
    <w:rsid w:val="0BB772BD"/>
    <w:rsid w:val="0BCD088E"/>
    <w:rsid w:val="0BD87233"/>
    <w:rsid w:val="0BE8391A"/>
    <w:rsid w:val="0BEF6A57"/>
    <w:rsid w:val="0BFE4EEC"/>
    <w:rsid w:val="0C3B7EEE"/>
    <w:rsid w:val="0C430B50"/>
    <w:rsid w:val="0C50326D"/>
    <w:rsid w:val="0C542D5E"/>
    <w:rsid w:val="0C6236CC"/>
    <w:rsid w:val="0C6A07D3"/>
    <w:rsid w:val="0C6C4794"/>
    <w:rsid w:val="0C77186C"/>
    <w:rsid w:val="0C844B6E"/>
    <w:rsid w:val="0CA8290A"/>
    <w:rsid w:val="0CC7352F"/>
    <w:rsid w:val="0CD66F96"/>
    <w:rsid w:val="0D0504FC"/>
    <w:rsid w:val="0D054058"/>
    <w:rsid w:val="0D0C188A"/>
    <w:rsid w:val="0D0F451A"/>
    <w:rsid w:val="0D1C7D1F"/>
    <w:rsid w:val="0D222E5C"/>
    <w:rsid w:val="0D3443CA"/>
    <w:rsid w:val="0D35493D"/>
    <w:rsid w:val="0D35B1ED"/>
    <w:rsid w:val="0D3F3A0E"/>
    <w:rsid w:val="0D470B14"/>
    <w:rsid w:val="0D4F14CE"/>
    <w:rsid w:val="0D5D7DAB"/>
    <w:rsid w:val="0D612945"/>
    <w:rsid w:val="0D674D12"/>
    <w:rsid w:val="0D696CDD"/>
    <w:rsid w:val="0D71793F"/>
    <w:rsid w:val="0D7F02AE"/>
    <w:rsid w:val="0D837D9E"/>
    <w:rsid w:val="0D841421"/>
    <w:rsid w:val="0D953890"/>
    <w:rsid w:val="0D9755F8"/>
    <w:rsid w:val="0D991370"/>
    <w:rsid w:val="0DCD54AC"/>
    <w:rsid w:val="0DD24882"/>
    <w:rsid w:val="0DE07E2B"/>
    <w:rsid w:val="0DED346A"/>
    <w:rsid w:val="0DEF71E2"/>
    <w:rsid w:val="0E160A2D"/>
    <w:rsid w:val="0E2A021A"/>
    <w:rsid w:val="0E2D3866"/>
    <w:rsid w:val="0E342E47"/>
    <w:rsid w:val="0E356BBF"/>
    <w:rsid w:val="0E87566C"/>
    <w:rsid w:val="0E8F4521"/>
    <w:rsid w:val="0ED4462A"/>
    <w:rsid w:val="0EE7610B"/>
    <w:rsid w:val="0F3D21CF"/>
    <w:rsid w:val="0F56503F"/>
    <w:rsid w:val="0F841BAC"/>
    <w:rsid w:val="0F98263C"/>
    <w:rsid w:val="0FB12275"/>
    <w:rsid w:val="0FBF2BE4"/>
    <w:rsid w:val="0FC226D4"/>
    <w:rsid w:val="0FCB77DB"/>
    <w:rsid w:val="0FE8213B"/>
    <w:rsid w:val="0FEB5787"/>
    <w:rsid w:val="0FF07AC4"/>
    <w:rsid w:val="10086339"/>
    <w:rsid w:val="100E0482"/>
    <w:rsid w:val="101860EC"/>
    <w:rsid w:val="101A2510"/>
    <w:rsid w:val="101A606C"/>
    <w:rsid w:val="101F1B29"/>
    <w:rsid w:val="10234F21"/>
    <w:rsid w:val="105E064F"/>
    <w:rsid w:val="106F63B8"/>
    <w:rsid w:val="10757746"/>
    <w:rsid w:val="1077526D"/>
    <w:rsid w:val="108F423E"/>
    <w:rsid w:val="109B4DFE"/>
    <w:rsid w:val="109C2F25"/>
    <w:rsid w:val="10A36062"/>
    <w:rsid w:val="10B262A5"/>
    <w:rsid w:val="10B62239"/>
    <w:rsid w:val="10BE4C49"/>
    <w:rsid w:val="10C055FF"/>
    <w:rsid w:val="10CD7582"/>
    <w:rsid w:val="10D0497D"/>
    <w:rsid w:val="10E36DA6"/>
    <w:rsid w:val="110034B4"/>
    <w:rsid w:val="115E01DA"/>
    <w:rsid w:val="11772AA4"/>
    <w:rsid w:val="118107EC"/>
    <w:rsid w:val="11AD363C"/>
    <w:rsid w:val="11B423B2"/>
    <w:rsid w:val="11C75D80"/>
    <w:rsid w:val="11E42DD6"/>
    <w:rsid w:val="120B3EBE"/>
    <w:rsid w:val="120E39AF"/>
    <w:rsid w:val="122B630F"/>
    <w:rsid w:val="122E5DFF"/>
    <w:rsid w:val="123A0EE7"/>
    <w:rsid w:val="12527D3F"/>
    <w:rsid w:val="12636CC3"/>
    <w:rsid w:val="12696E37"/>
    <w:rsid w:val="126B0E01"/>
    <w:rsid w:val="12745F08"/>
    <w:rsid w:val="127C6B6A"/>
    <w:rsid w:val="128D0D77"/>
    <w:rsid w:val="128D6FC9"/>
    <w:rsid w:val="1292638E"/>
    <w:rsid w:val="12A10CC7"/>
    <w:rsid w:val="12B13E61"/>
    <w:rsid w:val="12CA5B28"/>
    <w:rsid w:val="12D469A6"/>
    <w:rsid w:val="12D93FBD"/>
    <w:rsid w:val="12DD62D4"/>
    <w:rsid w:val="12FC7CAB"/>
    <w:rsid w:val="13070B2A"/>
    <w:rsid w:val="131B45D5"/>
    <w:rsid w:val="134330D1"/>
    <w:rsid w:val="134A0A16"/>
    <w:rsid w:val="134D0507"/>
    <w:rsid w:val="13573133"/>
    <w:rsid w:val="136441CE"/>
    <w:rsid w:val="13734411"/>
    <w:rsid w:val="138A3509"/>
    <w:rsid w:val="138D7D05"/>
    <w:rsid w:val="13957196"/>
    <w:rsid w:val="13B93B6C"/>
    <w:rsid w:val="13D50BC4"/>
    <w:rsid w:val="13E470BD"/>
    <w:rsid w:val="14022904"/>
    <w:rsid w:val="141F1EA3"/>
    <w:rsid w:val="14261483"/>
    <w:rsid w:val="143E4DC4"/>
    <w:rsid w:val="143F7E93"/>
    <w:rsid w:val="145359C0"/>
    <w:rsid w:val="14856F8B"/>
    <w:rsid w:val="14A00636"/>
    <w:rsid w:val="14B7032D"/>
    <w:rsid w:val="14B720DC"/>
    <w:rsid w:val="14D60986"/>
    <w:rsid w:val="14E46C49"/>
    <w:rsid w:val="150D2643"/>
    <w:rsid w:val="152F2A07"/>
    <w:rsid w:val="15311E8E"/>
    <w:rsid w:val="154F4A0A"/>
    <w:rsid w:val="156D6C3E"/>
    <w:rsid w:val="15A765F4"/>
    <w:rsid w:val="15CC2CC8"/>
    <w:rsid w:val="15EB593E"/>
    <w:rsid w:val="15EE4223"/>
    <w:rsid w:val="15EF3AF7"/>
    <w:rsid w:val="15F80BFE"/>
    <w:rsid w:val="15F9525F"/>
    <w:rsid w:val="160752E5"/>
    <w:rsid w:val="16094BB9"/>
    <w:rsid w:val="161F55D0"/>
    <w:rsid w:val="162C2EA2"/>
    <w:rsid w:val="16414353"/>
    <w:rsid w:val="165E0673"/>
    <w:rsid w:val="166D4CFC"/>
    <w:rsid w:val="16893F4C"/>
    <w:rsid w:val="169523B1"/>
    <w:rsid w:val="169A3A63"/>
    <w:rsid w:val="169E17A5"/>
    <w:rsid w:val="169F388D"/>
    <w:rsid w:val="16B03286"/>
    <w:rsid w:val="16B8213B"/>
    <w:rsid w:val="16BB723D"/>
    <w:rsid w:val="16D43419"/>
    <w:rsid w:val="16E41182"/>
    <w:rsid w:val="16E8315C"/>
    <w:rsid w:val="16F07B27"/>
    <w:rsid w:val="16F13FCB"/>
    <w:rsid w:val="16F15408"/>
    <w:rsid w:val="17013AE2"/>
    <w:rsid w:val="170240B9"/>
    <w:rsid w:val="17245C02"/>
    <w:rsid w:val="1724750F"/>
    <w:rsid w:val="17321EED"/>
    <w:rsid w:val="17664CEC"/>
    <w:rsid w:val="1767032E"/>
    <w:rsid w:val="17683B61"/>
    <w:rsid w:val="178F0754"/>
    <w:rsid w:val="17A80401"/>
    <w:rsid w:val="17E52734"/>
    <w:rsid w:val="17E61B2C"/>
    <w:rsid w:val="17EE4066"/>
    <w:rsid w:val="17EF3DF3"/>
    <w:rsid w:val="18131D1F"/>
    <w:rsid w:val="18185587"/>
    <w:rsid w:val="181F06C4"/>
    <w:rsid w:val="182C1032"/>
    <w:rsid w:val="18574301"/>
    <w:rsid w:val="186504BB"/>
    <w:rsid w:val="18695DE3"/>
    <w:rsid w:val="187529D9"/>
    <w:rsid w:val="18866995"/>
    <w:rsid w:val="188B3FAB"/>
    <w:rsid w:val="18A40BC9"/>
    <w:rsid w:val="18C22051"/>
    <w:rsid w:val="18CB2963"/>
    <w:rsid w:val="18E26F66"/>
    <w:rsid w:val="19137AFC"/>
    <w:rsid w:val="19143FA0"/>
    <w:rsid w:val="19157D18"/>
    <w:rsid w:val="192817FA"/>
    <w:rsid w:val="193523D4"/>
    <w:rsid w:val="1938089F"/>
    <w:rsid w:val="195E18DB"/>
    <w:rsid w:val="197131A1"/>
    <w:rsid w:val="19A445FC"/>
    <w:rsid w:val="19AF5A77"/>
    <w:rsid w:val="19B36563"/>
    <w:rsid w:val="19CC487B"/>
    <w:rsid w:val="19F31E08"/>
    <w:rsid w:val="1A0538E9"/>
    <w:rsid w:val="1A116F12"/>
    <w:rsid w:val="1A237F03"/>
    <w:rsid w:val="1A2851B4"/>
    <w:rsid w:val="1A473F02"/>
    <w:rsid w:val="1A606D71"/>
    <w:rsid w:val="1A8133D4"/>
    <w:rsid w:val="1AA167C8"/>
    <w:rsid w:val="1AA57581"/>
    <w:rsid w:val="1AC72748"/>
    <w:rsid w:val="1AD5775F"/>
    <w:rsid w:val="1ADC0AEE"/>
    <w:rsid w:val="1AFF4613"/>
    <w:rsid w:val="1B083691"/>
    <w:rsid w:val="1B2E0C1E"/>
    <w:rsid w:val="1B7156DA"/>
    <w:rsid w:val="1B754A9E"/>
    <w:rsid w:val="1B776A68"/>
    <w:rsid w:val="1B7D550C"/>
    <w:rsid w:val="1BA85DC3"/>
    <w:rsid w:val="1BAA4748"/>
    <w:rsid w:val="1BB27AA1"/>
    <w:rsid w:val="1BD16179"/>
    <w:rsid w:val="1BE8440E"/>
    <w:rsid w:val="1BF9122C"/>
    <w:rsid w:val="1C08659F"/>
    <w:rsid w:val="1C1222ED"/>
    <w:rsid w:val="1C142509"/>
    <w:rsid w:val="1C2564C4"/>
    <w:rsid w:val="1C273F78"/>
    <w:rsid w:val="1C6074FD"/>
    <w:rsid w:val="1C71170A"/>
    <w:rsid w:val="1C7D3C0B"/>
    <w:rsid w:val="1CAB5593"/>
    <w:rsid w:val="1CAD0994"/>
    <w:rsid w:val="1CB515F6"/>
    <w:rsid w:val="1CD04682"/>
    <w:rsid w:val="1CDD28FB"/>
    <w:rsid w:val="1CE27F12"/>
    <w:rsid w:val="1CED60A0"/>
    <w:rsid w:val="1CFF0AC4"/>
    <w:rsid w:val="1D063DC2"/>
    <w:rsid w:val="1D1207F7"/>
    <w:rsid w:val="1D152095"/>
    <w:rsid w:val="1D155CEE"/>
    <w:rsid w:val="1D384514"/>
    <w:rsid w:val="1D491D3F"/>
    <w:rsid w:val="1D7F1C04"/>
    <w:rsid w:val="1D81260B"/>
    <w:rsid w:val="1D89463E"/>
    <w:rsid w:val="1D94745E"/>
    <w:rsid w:val="1DB01DBE"/>
    <w:rsid w:val="1DC00253"/>
    <w:rsid w:val="1DE178F3"/>
    <w:rsid w:val="1E195BB5"/>
    <w:rsid w:val="1E236A34"/>
    <w:rsid w:val="1E312EFF"/>
    <w:rsid w:val="1E4C1AE7"/>
    <w:rsid w:val="1E562965"/>
    <w:rsid w:val="1E72416F"/>
    <w:rsid w:val="1E740ACF"/>
    <w:rsid w:val="1E890F8D"/>
    <w:rsid w:val="1E8A260F"/>
    <w:rsid w:val="1EAB0F03"/>
    <w:rsid w:val="1EB63404"/>
    <w:rsid w:val="1EC45B21"/>
    <w:rsid w:val="1ECB5101"/>
    <w:rsid w:val="1ECE4BF1"/>
    <w:rsid w:val="1EE95587"/>
    <w:rsid w:val="1EEB57A3"/>
    <w:rsid w:val="1EFA3C38"/>
    <w:rsid w:val="1F120F82"/>
    <w:rsid w:val="1F274302"/>
    <w:rsid w:val="1F2C36C6"/>
    <w:rsid w:val="1F334A54"/>
    <w:rsid w:val="1F3802BD"/>
    <w:rsid w:val="1F5F1CED"/>
    <w:rsid w:val="1F647304"/>
    <w:rsid w:val="1F9C084C"/>
    <w:rsid w:val="1FAD2A59"/>
    <w:rsid w:val="1FC3227C"/>
    <w:rsid w:val="1FE16BA6"/>
    <w:rsid w:val="1FF35744"/>
    <w:rsid w:val="1FF6BC77"/>
    <w:rsid w:val="20016901"/>
    <w:rsid w:val="20106B9E"/>
    <w:rsid w:val="20360CA0"/>
    <w:rsid w:val="20370574"/>
    <w:rsid w:val="20607ACB"/>
    <w:rsid w:val="20672C08"/>
    <w:rsid w:val="20765541"/>
    <w:rsid w:val="20831A0C"/>
    <w:rsid w:val="20855784"/>
    <w:rsid w:val="20893ED4"/>
    <w:rsid w:val="209D2ACD"/>
    <w:rsid w:val="20A05219"/>
    <w:rsid w:val="20A35C0A"/>
    <w:rsid w:val="20AC4ABE"/>
    <w:rsid w:val="20AE4CDA"/>
    <w:rsid w:val="20B147CB"/>
    <w:rsid w:val="20B16579"/>
    <w:rsid w:val="20B56069"/>
    <w:rsid w:val="20CF4C51"/>
    <w:rsid w:val="211D5F2B"/>
    <w:rsid w:val="213C22E6"/>
    <w:rsid w:val="21674E89"/>
    <w:rsid w:val="217A696B"/>
    <w:rsid w:val="217D46AD"/>
    <w:rsid w:val="219624CF"/>
    <w:rsid w:val="21962A9E"/>
    <w:rsid w:val="21AE7C77"/>
    <w:rsid w:val="21BC6F83"/>
    <w:rsid w:val="21ED35E0"/>
    <w:rsid w:val="21FC1A76"/>
    <w:rsid w:val="221C3EC6"/>
    <w:rsid w:val="22235254"/>
    <w:rsid w:val="22237002"/>
    <w:rsid w:val="222F59A7"/>
    <w:rsid w:val="22372AAE"/>
    <w:rsid w:val="228A52D3"/>
    <w:rsid w:val="22BC3C41"/>
    <w:rsid w:val="22D6753F"/>
    <w:rsid w:val="22E5075C"/>
    <w:rsid w:val="22F95FB5"/>
    <w:rsid w:val="230C7A96"/>
    <w:rsid w:val="231921B3"/>
    <w:rsid w:val="235651B5"/>
    <w:rsid w:val="235D4796"/>
    <w:rsid w:val="237D0994"/>
    <w:rsid w:val="23860B96"/>
    <w:rsid w:val="238E2BA1"/>
    <w:rsid w:val="23C14D25"/>
    <w:rsid w:val="23DA7B95"/>
    <w:rsid w:val="23DF51AB"/>
    <w:rsid w:val="23E26A49"/>
    <w:rsid w:val="23ED5B1A"/>
    <w:rsid w:val="240371BF"/>
    <w:rsid w:val="24084702"/>
    <w:rsid w:val="241035B6"/>
    <w:rsid w:val="2434021C"/>
    <w:rsid w:val="244119C2"/>
    <w:rsid w:val="244840CD"/>
    <w:rsid w:val="245B28F0"/>
    <w:rsid w:val="2482230D"/>
    <w:rsid w:val="248B1ECD"/>
    <w:rsid w:val="249562DC"/>
    <w:rsid w:val="24997A50"/>
    <w:rsid w:val="24A7216D"/>
    <w:rsid w:val="24AD5F94"/>
    <w:rsid w:val="24AE06FA"/>
    <w:rsid w:val="24C06D8A"/>
    <w:rsid w:val="24E707BB"/>
    <w:rsid w:val="24E72569"/>
    <w:rsid w:val="24EC414F"/>
    <w:rsid w:val="24F66C50"/>
    <w:rsid w:val="251E798A"/>
    <w:rsid w:val="253F05F7"/>
    <w:rsid w:val="255319AC"/>
    <w:rsid w:val="256C6F12"/>
    <w:rsid w:val="2572277A"/>
    <w:rsid w:val="257F6C45"/>
    <w:rsid w:val="25853B30"/>
    <w:rsid w:val="25BF34E6"/>
    <w:rsid w:val="25DF5936"/>
    <w:rsid w:val="25E23E07"/>
    <w:rsid w:val="25E940BF"/>
    <w:rsid w:val="25F11989"/>
    <w:rsid w:val="25F82554"/>
    <w:rsid w:val="25FF38E2"/>
    <w:rsid w:val="260F557C"/>
    <w:rsid w:val="263E265D"/>
    <w:rsid w:val="265005E2"/>
    <w:rsid w:val="265A6D6B"/>
    <w:rsid w:val="266B541C"/>
    <w:rsid w:val="266D2F42"/>
    <w:rsid w:val="26946D95"/>
    <w:rsid w:val="26C50688"/>
    <w:rsid w:val="26E256DE"/>
    <w:rsid w:val="26EE4083"/>
    <w:rsid w:val="27473793"/>
    <w:rsid w:val="274D3E6B"/>
    <w:rsid w:val="27644345"/>
    <w:rsid w:val="27716A62"/>
    <w:rsid w:val="27B84691"/>
    <w:rsid w:val="27E15995"/>
    <w:rsid w:val="27F751B9"/>
    <w:rsid w:val="28013942"/>
    <w:rsid w:val="281408E2"/>
    <w:rsid w:val="28292E99"/>
    <w:rsid w:val="282D7E62"/>
    <w:rsid w:val="283D06F2"/>
    <w:rsid w:val="28497097"/>
    <w:rsid w:val="284E0B51"/>
    <w:rsid w:val="28610BF3"/>
    <w:rsid w:val="28612632"/>
    <w:rsid w:val="289742A6"/>
    <w:rsid w:val="289A78F2"/>
    <w:rsid w:val="289B1BE8"/>
    <w:rsid w:val="28A6098D"/>
    <w:rsid w:val="28AB7D51"/>
    <w:rsid w:val="28B5472C"/>
    <w:rsid w:val="28B9246E"/>
    <w:rsid w:val="28BC1F5F"/>
    <w:rsid w:val="28BE27A6"/>
    <w:rsid w:val="28C332ED"/>
    <w:rsid w:val="28CF1C92"/>
    <w:rsid w:val="28D15A0A"/>
    <w:rsid w:val="28DC7F0B"/>
    <w:rsid w:val="28FD0972"/>
    <w:rsid w:val="28FE60D3"/>
    <w:rsid w:val="290A0F1C"/>
    <w:rsid w:val="2912392D"/>
    <w:rsid w:val="293B2E83"/>
    <w:rsid w:val="2996630C"/>
    <w:rsid w:val="29C15A7E"/>
    <w:rsid w:val="29CE5AA6"/>
    <w:rsid w:val="29DC7AB2"/>
    <w:rsid w:val="29E03A2B"/>
    <w:rsid w:val="29FD04D3"/>
    <w:rsid w:val="2A13795C"/>
    <w:rsid w:val="2A151926"/>
    <w:rsid w:val="2A222295"/>
    <w:rsid w:val="2A224043"/>
    <w:rsid w:val="2A314286"/>
    <w:rsid w:val="2A4B359A"/>
    <w:rsid w:val="2A7C19A5"/>
    <w:rsid w:val="2A922F77"/>
    <w:rsid w:val="2A9F38E6"/>
    <w:rsid w:val="2AB8479E"/>
    <w:rsid w:val="2AD4533E"/>
    <w:rsid w:val="2AD96DF8"/>
    <w:rsid w:val="2AEF3F25"/>
    <w:rsid w:val="2AF05EF0"/>
    <w:rsid w:val="2B02634F"/>
    <w:rsid w:val="2B05199B"/>
    <w:rsid w:val="2B065713"/>
    <w:rsid w:val="2B116592"/>
    <w:rsid w:val="2B342280"/>
    <w:rsid w:val="2B4029D3"/>
    <w:rsid w:val="2B667F60"/>
    <w:rsid w:val="2B747352"/>
    <w:rsid w:val="2B7F799F"/>
    <w:rsid w:val="2B8762AD"/>
    <w:rsid w:val="2BDF043E"/>
    <w:rsid w:val="2BEF4305"/>
    <w:rsid w:val="2BF11F1F"/>
    <w:rsid w:val="2BF44DDC"/>
    <w:rsid w:val="2BFF7BC6"/>
    <w:rsid w:val="2C1B6F9C"/>
    <w:rsid w:val="2C2916B9"/>
    <w:rsid w:val="2C4B5AD3"/>
    <w:rsid w:val="2C5E2824"/>
    <w:rsid w:val="2C631C0F"/>
    <w:rsid w:val="2C793E3A"/>
    <w:rsid w:val="2C892158"/>
    <w:rsid w:val="2C8A61B5"/>
    <w:rsid w:val="2CA70830"/>
    <w:rsid w:val="2CB90C8F"/>
    <w:rsid w:val="2CBE44F7"/>
    <w:rsid w:val="2CD51D9D"/>
    <w:rsid w:val="2CF27CFD"/>
    <w:rsid w:val="2D197980"/>
    <w:rsid w:val="2D2D51D9"/>
    <w:rsid w:val="2D2E01CF"/>
    <w:rsid w:val="2D4349FC"/>
    <w:rsid w:val="2D463657"/>
    <w:rsid w:val="2D4A096F"/>
    <w:rsid w:val="2D6A1F89"/>
    <w:rsid w:val="2D7626DC"/>
    <w:rsid w:val="2D7E77E3"/>
    <w:rsid w:val="2D8F19F0"/>
    <w:rsid w:val="2D9B2143"/>
    <w:rsid w:val="2DDB69E3"/>
    <w:rsid w:val="2DDF4522"/>
    <w:rsid w:val="2DF04E50"/>
    <w:rsid w:val="2DFB52D7"/>
    <w:rsid w:val="2DFD2DFD"/>
    <w:rsid w:val="2DFE26D1"/>
    <w:rsid w:val="2E1D349F"/>
    <w:rsid w:val="2E204D3E"/>
    <w:rsid w:val="2E440A2C"/>
    <w:rsid w:val="2E461D04"/>
    <w:rsid w:val="2E505623"/>
    <w:rsid w:val="2E56075F"/>
    <w:rsid w:val="2E755089"/>
    <w:rsid w:val="2E903C71"/>
    <w:rsid w:val="2E9545B0"/>
    <w:rsid w:val="2E976DAE"/>
    <w:rsid w:val="2E9C43C4"/>
    <w:rsid w:val="2EAC037F"/>
    <w:rsid w:val="2EBA6F40"/>
    <w:rsid w:val="2ED26038"/>
    <w:rsid w:val="2EEF6BEA"/>
    <w:rsid w:val="2F040D46"/>
    <w:rsid w:val="2F0D0E1E"/>
    <w:rsid w:val="2F1A353B"/>
    <w:rsid w:val="2F1F0B51"/>
    <w:rsid w:val="2F261EE0"/>
    <w:rsid w:val="2F37233F"/>
    <w:rsid w:val="2F397E65"/>
    <w:rsid w:val="2F3F60BE"/>
    <w:rsid w:val="2F462582"/>
    <w:rsid w:val="2F971030"/>
    <w:rsid w:val="2FAE5751"/>
    <w:rsid w:val="2FAF45CB"/>
    <w:rsid w:val="2FB1A395"/>
    <w:rsid w:val="2FB67708"/>
    <w:rsid w:val="2FC02334"/>
    <w:rsid w:val="2FD9A7D8"/>
    <w:rsid w:val="300D4E4E"/>
    <w:rsid w:val="304E7940"/>
    <w:rsid w:val="304F36B8"/>
    <w:rsid w:val="30766E97"/>
    <w:rsid w:val="307B44AD"/>
    <w:rsid w:val="30EE1123"/>
    <w:rsid w:val="312B1CEB"/>
    <w:rsid w:val="31532D34"/>
    <w:rsid w:val="315947EF"/>
    <w:rsid w:val="316F5DC0"/>
    <w:rsid w:val="319B4E07"/>
    <w:rsid w:val="319F7F4E"/>
    <w:rsid w:val="31A517E2"/>
    <w:rsid w:val="31AA329C"/>
    <w:rsid w:val="31B22151"/>
    <w:rsid w:val="31B47C77"/>
    <w:rsid w:val="31BB1005"/>
    <w:rsid w:val="31CA56EC"/>
    <w:rsid w:val="31E85B72"/>
    <w:rsid w:val="31EF6F01"/>
    <w:rsid w:val="31FA7075"/>
    <w:rsid w:val="320F30FF"/>
    <w:rsid w:val="321150C9"/>
    <w:rsid w:val="321B2544"/>
    <w:rsid w:val="32313075"/>
    <w:rsid w:val="324234D5"/>
    <w:rsid w:val="327B69E7"/>
    <w:rsid w:val="32987598"/>
    <w:rsid w:val="329D070B"/>
    <w:rsid w:val="32A379BA"/>
    <w:rsid w:val="32A970B0"/>
    <w:rsid w:val="32AE0B6A"/>
    <w:rsid w:val="32AF043E"/>
    <w:rsid w:val="32F02F31"/>
    <w:rsid w:val="32FD73FC"/>
    <w:rsid w:val="32FF4F22"/>
    <w:rsid w:val="3304709D"/>
    <w:rsid w:val="33164B0C"/>
    <w:rsid w:val="3317670F"/>
    <w:rsid w:val="332350B4"/>
    <w:rsid w:val="33266952"/>
    <w:rsid w:val="333F2A42"/>
    <w:rsid w:val="33423060"/>
    <w:rsid w:val="33446DD8"/>
    <w:rsid w:val="33466FF4"/>
    <w:rsid w:val="337C3E29"/>
    <w:rsid w:val="339A4C4A"/>
    <w:rsid w:val="33E04D53"/>
    <w:rsid w:val="33E53D73"/>
    <w:rsid w:val="33E65956"/>
    <w:rsid w:val="34125129"/>
    <w:rsid w:val="341D42F2"/>
    <w:rsid w:val="34281836"/>
    <w:rsid w:val="342F6D70"/>
    <w:rsid w:val="346C65E7"/>
    <w:rsid w:val="347D25A2"/>
    <w:rsid w:val="347F3349"/>
    <w:rsid w:val="34853B4C"/>
    <w:rsid w:val="349D6851"/>
    <w:rsid w:val="34A2025B"/>
    <w:rsid w:val="34B85CD0"/>
    <w:rsid w:val="34C77CC1"/>
    <w:rsid w:val="34CE72A2"/>
    <w:rsid w:val="34E93222"/>
    <w:rsid w:val="34EE16F2"/>
    <w:rsid w:val="351F5D4F"/>
    <w:rsid w:val="356E45E1"/>
    <w:rsid w:val="35775243"/>
    <w:rsid w:val="357F234A"/>
    <w:rsid w:val="35A61FCC"/>
    <w:rsid w:val="35B90A30"/>
    <w:rsid w:val="35BA6CAF"/>
    <w:rsid w:val="35D37231"/>
    <w:rsid w:val="35E328D9"/>
    <w:rsid w:val="35EA010B"/>
    <w:rsid w:val="35ED19A9"/>
    <w:rsid w:val="361A2073"/>
    <w:rsid w:val="363B2715"/>
    <w:rsid w:val="364A0BAA"/>
    <w:rsid w:val="364D14C1"/>
    <w:rsid w:val="36502DAD"/>
    <w:rsid w:val="36527A5E"/>
    <w:rsid w:val="365E28A7"/>
    <w:rsid w:val="36604982"/>
    <w:rsid w:val="36806379"/>
    <w:rsid w:val="368A0F80"/>
    <w:rsid w:val="368F480F"/>
    <w:rsid w:val="36AA5135"/>
    <w:rsid w:val="36AC53C0"/>
    <w:rsid w:val="36BE0DA7"/>
    <w:rsid w:val="36D668E1"/>
    <w:rsid w:val="36F32FEF"/>
    <w:rsid w:val="36FE0EE8"/>
    <w:rsid w:val="37076E41"/>
    <w:rsid w:val="37293F7F"/>
    <w:rsid w:val="373B6744"/>
    <w:rsid w:val="37517D16"/>
    <w:rsid w:val="37585548"/>
    <w:rsid w:val="375A4E1C"/>
    <w:rsid w:val="375C6DE7"/>
    <w:rsid w:val="376B6AA6"/>
    <w:rsid w:val="376D39B2"/>
    <w:rsid w:val="37785D74"/>
    <w:rsid w:val="37824373"/>
    <w:rsid w:val="37887BDC"/>
    <w:rsid w:val="379540A7"/>
    <w:rsid w:val="37AB530B"/>
    <w:rsid w:val="37BE184F"/>
    <w:rsid w:val="37E16F03"/>
    <w:rsid w:val="37E82428"/>
    <w:rsid w:val="37F53A3B"/>
    <w:rsid w:val="38170F5F"/>
    <w:rsid w:val="382C4A0B"/>
    <w:rsid w:val="38415FDC"/>
    <w:rsid w:val="387B78CA"/>
    <w:rsid w:val="388E7474"/>
    <w:rsid w:val="38983E4E"/>
    <w:rsid w:val="389B6C89"/>
    <w:rsid w:val="38A26A7B"/>
    <w:rsid w:val="38B247E4"/>
    <w:rsid w:val="38C74B99"/>
    <w:rsid w:val="38D26C34"/>
    <w:rsid w:val="38D469F0"/>
    <w:rsid w:val="38D64977"/>
    <w:rsid w:val="38D8249D"/>
    <w:rsid w:val="38E15B76"/>
    <w:rsid w:val="38FD1F03"/>
    <w:rsid w:val="391C5191"/>
    <w:rsid w:val="39205F63"/>
    <w:rsid w:val="39382F3B"/>
    <w:rsid w:val="394418E0"/>
    <w:rsid w:val="39627CCD"/>
    <w:rsid w:val="397A79F8"/>
    <w:rsid w:val="397BAF1F"/>
    <w:rsid w:val="39812B34"/>
    <w:rsid w:val="398208E0"/>
    <w:rsid w:val="3986639D"/>
    <w:rsid w:val="39A14F85"/>
    <w:rsid w:val="39A46823"/>
    <w:rsid w:val="39C61FDA"/>
    <w:rsid w:val="3A0D261A"/>
    <w:rsid w:val="3A173499"/>
    <w:rsid w:val="3A2A31CC"/>
    <w:rsid w:val="3A3F6130"/>
    <w:rsid w:val="3A480BD6"/>
    <w:rsid w:val="3A5169AB"/>
    <w:rsid w:val="3A5B15D7"/>
    <w:rsid w:val="3A5E69D2"/>
    <w:rsid w:val="3A6F0BDF"/>
    <w:rsid w:val="3A7B57D6"/>
    <w:rsid w:val="3A880C39"/>
    <w:rsid w:val="3AB79AF3"/>
    <w:rsid w:val="3AE27603"/>
    <w:rsid w:val="3AF9494C"/>
    <w:rsid w:val="3AFD268F"/>
    <w:rsid w:val="3B135A0E"/>
    <w:rsid w:val="3B143534"/>
    <w:rsid w:val="3B293484"/>
    <w:rsid w:val="3B392F9B"/>
    <w:rsid w:val="3B464036"/>
    <w:rsid w:val="3B6049CB"/>
    <w:rsid w:val="3B6E0E96"/>
    <w:rsid w:val="3B7EF35A"/>
    <w:rsid w:val="3B862684"/>
    <w:rsid w:val="3B8C57C0"/>
    <w:rsid w:val="3B9FDB6C"/>
    <w:rsid w:val="3BA66882"/>
    <w:rsid w:val="3BA725FA"/>
    <w:rsid w:val="3BBC42F8"/>
    <w:rsid w:val="3BE35F62"/>
    <w:rsid w:val="3BF515B8"/>
    <w:rsid w:val="3BF5BC2F"/>
    <w:rsid w:val="3BFF1F97"/>
    <w:rsid w:val="3C1C08F2"/>
    <w:rsid w:val="3C1E0B0E"/>
    <w:rsid w:val="3C256456"/>
    <w:rsid w:val="3C29300F"/>
    <w:rsid w:val="3C3B7D4D"/>
    <w:rsid w:val="3C3F0A85"/>
    <w:rsid w:val="3C3F7143"/>
    <w:rsid w:val="3C502C92"/>
    <w:rsid w:val="3C6978B0"/>
    <w:rsid w:val="3C705F6F"/>
    <w:rsid w:val="3C8F7316"/>
    <w:rsid w:val="3CEBA265"/>
    <w:rsid w:val="3D007123"/>
    <w:rsid w:val="3D4D43A6"/>
    <w:rsid w:val="3D5D7415"/>
    <w:rsid w:val="3D69400B"/>
    <w:rsid w:val="3D736C38"/>
    <w:rsid w:val="3D804EB1"/>
    <w:rsid w:val="3D8F3346"/>
    <w:rsid w:val="3D915310"/>
    <w:rsid w:val="3D960B78"/>
    <w:rsid w:val="3D98207C"/>
    <w:rsid w:val="3D9B0D99"/>
    <w:rsid w:val="3DA70690"/>
    <w:rsid w:val="3DB37034"/>
    <w:rsid w:val="3DD05E38"/>
    <w:rsid w:val="3DD07BE6"/>
    <w:rsid w:val="3DDD74B1"/>
    <w:rsid w:val="3DDF370F"/>
    <w:rsid w:val="3DEE7CF3"/>
    <w:rsid w:val="3DF02244"/>
    <w:rsid w:val="3DFE0BF8"/>
    <w:rsid w:val="3E10092B"/>
    <w:rsid w:val="3E265A58"/>
    <w:rsid w:val="3E410AE4"/>
    <w:rsid w:val="3E6E73FF"/>
    <w:rsid w:val="3E78745D"/>
    <w:rsid w:val="3EBC58A4"/>
    <w:rsid w:val="3ECA6D2C"/>
    <w:rsid w:val="3EE6343A"/>
    <w:rsid w:val="3EF43DA9"/>
    <w:rsid w:val="3EF9316D"/>
    <w:rsid w:val="3F0538C0"/>
    <w:rsid w:val="3F1528D7"/>
    <w:rsid w:val="3F2F3033"/>
    <w:rsid w:val="3F4C14EF"/>
    <w:rsid w:val="3F577E93"/>
    <w:rsid w:val="3F5E7474"/>
    <w:rsid w:val="3F6902F3"/>
    <w:rsid w:val="3F7E18C4"/>
    <w:rsid w:val="3F984734"/>
    <w:rsid w:val="3FA26360"/>
    <w:rsid w:val="3FB62E0C"/>
    <w:rsid w:val="3FB672B0"/>
    <w:rsid w:val="3FE53D90"/>
    <w:rsid w:val="3FF4CAE0"/>
    <w:rsid w:val="3FF7B227"/>
    <w:rsid w:val="40026051"/>
    <w:rsid w:val="4004001B"/>
    <w:rsid w:val="4038621E"/>
    <w:rsid w:val="40493C80"/>
    <w:rsid w:val="40556AC9"/>
    <w:rsid w:val="40580367"/>
    <w:rsid w:val="407324F6"/>
    <w:rsid w:val="40776A3F"/>
    <w:rsid w:val="40925627"/>
    <w:rsid w:val="409F1AF2"/>
    <w:rsid w:val="40E54C45"/>
    <w:rsid w:val="40E85247"/>
    <w:rsid w:val="40EC2DAE"/>
    <w:rsid w:val="40F005A0"/>
    <w:rsid w:val="4101455B"/>
    <w:rsid w:val="41067DC3"/>
    <w:rsid w:val="41140732"/>
    <w:rsid w:val="412546ED"/>
    <w:rsid w:val="412F731A"/>
    <w:rsid w:val="41313393"/>
    <w:rsid w:val="418D5DEE"/>
    <w:rsid w:val="41BB295C"/>
    <w:rsid w:val="41BD2B78"/>
    <w:rsid w:val="41F1637D"/>
    <w:rsid w:val="42120775"/>
    <w:rsid w:val="423050F8"/>
    <w:rsid w:val="423906AC"/>
    <w:rsid w:val="4242307D"/>
    <w:rsid w:val="42424E2B"/>
    <w:rsid w:val="424741EF"/>
    <w:rsid w:val="425012F6"/>
    <w:rsid w:val="425A03C6"/>
    <w:rsid w:val="425F3C2F"/>
    <w:rsid w:val="427E2307"/>
    <w:rsid w:val="42876CE2"/>
    <w:rsid w:val="428A7C17"/>
    <w:rsid w:val="42AC04F6"/>
    <w:rsid w:val="42B51AA1"/>
    <w:rsid w:val="42E61C5A"/>
    <w:rsid w:val="42FA5706"/>
    <w:rsid w:val="430B7913"/>
    <w:rsid w:val="433018E0"/>
    <w:rsid w:val="43317379"/>
    <w:rsid w:val="43452E25"/>
    <w:rsid w:val="43456981"/>
    <w:rsid w:val="43527B09"/>
    <w:rsid w:val="435C3CCA"/>
    <w:rsid w:val="43672D9B"/>
    <w:rsid w:val="436E5324"/>
    <w:rsid w:val="43A407DF"/>
    <w:rsid w:val="43AA712C"/>
    <w:rsid w:val="43B27D8E"/>
    <w:rsid w:val="43CD4BC8"/>
    <w:rsid w:val="43E066A9"/>
    <w:rsid w:val="43F62371"/>
    <w:rsid w:val="43FF1225"/>
    <w:rsid w:val="440A7BCA"/>
    <w:rsid w:val="44136A7F"/>
    <w:rsid w:val="44150A49"/>
    <w:rsid w:val="441A605F"/>
    <w:rsid w:val="441A7E0D"/>
    <w:rsid w:val="441F5424"/>
    <w:rsid w:val="44246EDE"/>
    <w:rsid w:val="44515BEA"/>
    <w:rsid w:val="44744EF5"/>
    <w:rsid w:val="44A8366B"/>
    <w:rsid w:val="44BD15A5"/>
    <w:rsid w:val="44C4421D"/>
    <w:rsid w:val="44D426B2"/>
    <w:rsid w:val="44E1092B"/>
    <w:rsid w:val="44E268DA"/>
    <w:rsid w:val="44F8123A"/>
    <w:rsid w:val="452847AC"/>
    <w:rsid w:val="453F7E5B"/>
    <w:rsid w:val="45566965"/>
    <w:rsid w:val="455E01CE"/>
    <w:rsid w:val="456D6663"/>
    <w:rsid w:val="45926BA9"/>
    <w:rsid w:val="45B85B30"/>
    <w:rsid w:val="45B95404"/>
    <w:rsid w:val="45C06792"/>
    <w:rsid w:val="45CC15DB"/>
    <w:rsid w:val="45CD7101"/>
    <w:rsid w:val="45CE5353"/>
    <w:rsid w:val="45DD5596"/>
    <w:rsid w:val="45DD7344"/>
    <w:rsid w:val="45FD55EE"/>
    <w:rsid w:val="460D6DA0"/>
    <w:rsid w:val="462E5DF2"/>
    <w:rsid w:val="465F41FD"/>
    <w:rsid w:val="468E6891"/>
    <w:rsid w:val="46AE0CE1"/>
    <w:rsid w:val="46C37884"/>
    <w:rsid w:val="46DC75FC"/>
    <w:rsid w:val="46EE37D3"/>
    <w:rsid w:val="47051BEE"/>
    <w:rsid w:val="47150D60"/>
    <w:rsid w:val="472E3BD0"/>
    <w:rsid w:val="47426CA3"/>
    <w:rsid w:val="474D04FA"/>
    <w:rsid w:val="47555600"/>
    <w:rsid w:val="475F3D89"/>
    <w:rsid w:val="477261B2"/>
    <w:rsid w:val="4783216D"/>
    <w:rsid w:val="478A52AA"/>
    <w:rsid w:val="479E2B03"/>
    <w:rsid w:val="47CB141F"/>
    <w:rsid w:val="47D15BA1"/>
    <w:rsid w:val="47D93B3C"/>
    <w:rsid w:val="47E10C42"/>
    <w:rsid w:val="47F869EB"/>
    <w:rsid w:val="480D7C89"/>
    <w:rsid w:val="482E032B"/>
    <w:rsid w:val="486378A9"/>
    <w:rsid w:val="486A6C7A"/>
    <w:rsid w:val="48853CC3"/>
    <w:rsid w:val="48A405ED"/>
    <w:rsid w:val="48B87BF5"/>
    <w:rsid w:val="48F6071D"/>
    <w:rsid w:val="490E3CB9"/>
    <w:rsid w:val="49176D9B"/>
    <w:rsid w:val="49180694"/>
    <w:rsid w:val="49382AE4"/>
    <w:rsid w:val="494006BD"/>
    <w:rsid w:val="494920D5"/>
    <w:rsid w:val="494B2817"/>
    <w:rsid w:val="495E69EE"/>
    <w:rsid w:val="4970227E"/>
    <w:rsid w:val="49777AB0"/>
    <w:rsid w:val="497C6E74"/>
    <w:rsid w:val="49BE56DF"/>
    <w:rsid w:val="49BF6D61"/>
    <w:rsid w:val="49C425C9"/>
    <w:rsid w:val="49CD5922"/>
    <w:rsid w:val="4A001853"/>
    <w:rsid w:val="4A272C3E"/>
    <w:rsid w:val="4A311421"/>
    <w:rsid w:val="4A437992"/>
    <w:rsid w:val="4A6242BC"/>
    <w:rsid w:val="4A627F82"/>
    <w:rsid w:val="4A9F6F2A"/>
    <w:rsid w:val="4AA77F21"/>
    <w:rsid w:val="4AA82E5E"/>
    <w:rsid w:val="4AAD305D"/>
    <w:rsid w:val="4AAF6DD6"/>
    <w:rsid w:val="4AB83EDC"/>
    <w:rsid w:val="4ABA1D88"/>
    <w:rsid w:val="4B0E749A"/>
    <w:rsid w:val="4B1E43F4"/>
    <w:rsid w:val="4B2E0642"/>
    <w:rsid w:val="4B3D2633"/>
    <w:rsid w:val="4B4F25DA"/>
    <w:rsid w:val="4B683D72"/>
    <w:rsid w:val="4B726781"/>
    <w:rsid w:val="4B7324F9"/>
    <w:rsid w:val="4B920BD1"/>
    <w:rsid w:val="4B944949"/>
    <w:rsid w:val="4BA53991"/>
    <w:rsid w:val="4BBE3774"/>
    <w:rsid w:val="4BD016F9"/>
    <w:rsid w:val="4BDA0CFB"/>
    <w:rsid w:val="4BE068DB"/>
    <w:rsid w:val="4BEE392E"/>
    <w:rsid w:val="4BFA22D2"/>
    <w:rsid w:val="4C0F5D7E"/>
    <w:rsid w:val="4C3C28EB"/>
    <w:rsid w:val="4C4023DB"/>
    <w:rsid w:val="4C4874E2"/>
    <w:rsid w:val="4C5E6D05"/>
    <w:rsid w:val="4C6A38FC"/>
    <w:rsid w:val="4C7067DD"/>
    <w:rsid w:val="4C761558"/>
    <w:rsid w:val="4C7B1665"/>
    <w:rsid w:val="4C7B6174"/>
    <w:rsid w:val="4C982217"/>
    <w:rsid w:val="4C9A1035"/>
    <w:rsid w:val="4CAD5597"/>
    <w:rsid w:val="4CC0176E"/>
    <w:rsid w:val="4CCC0113"/>
    <w:rsid w:val="4CD80866"/>
    <w:rsid w:val="4CE54D31"/>
    <w:rsid w:val="4CF82CB6"/>
    <w:rsid w:val="4D05056F"/>
    <w:rsid w:val="4D07114B"/>
    <w:rsid w:val="4D0F1DAD"/>
    <w:rsid w:val="4D204F17"/>
    <w:rsid w:val="4D3161C8"/>
    <w:rsid w:val="4D3C0CCC"/>
    <w:rsid w:val="4D3C2724"/>
    <w:rsid w:val="4D3C7046"/>
    <w:rsid w:val="4D550108"/>
    <w:rsid w:val="4D577224"/>
    <w:rsid w:val="4D5D520F"/>
    <w:rsid w:val="4D5E3185"/>
    <w:rsid w:val="4D720CBA"/>
    <w:rsid w:val="4D87448C"/>
    <w:rsid w:val="4D885774"/>
    <w:rsid w:val="4D9D560B"/>
    <w:rsid w:val="4DBF1CEB"/>
    <w:rsid w:val="4E077249"/>
    <w:rsid w:val="4E0F475B"/>
    <w:rsid w:val="4E261AA5"/>
    <w:rsid w:val="4E487C6D"/>
    <w:rsid w:val="4E600B13"/>
    <w:rsid w:val="4E6600F3"/>
    <w:rsid w:val="4E683E6B"/>
    <w:rsid w:val="4E6D3230"/>
    <w:rsid w:val="4E791834"/>
    <w:rsid w:val="4EA604F0"/>
    <w:rsid w:val="4EAB630A"/>
    <w:rsid w:val="4EB26E94"/>
    <w:rsid w:val="4EB3158A"/>
    <w:rsid w:val="4ECE2238"/>
    <w:rsid w:val="4EE94FAC"/>
    <w:rsid w:val="4EED611E"/>
    <w:rsid w:val="4F162174"/>
    <w:rsid w:val="4F22226C"/>
    <w:rsid w:val="4F61335F"/>
    <w:rsid w:val="4F6463E1"/>
    <w:rsid w:val="4F833267"/>
    <w:rsid w:val="4F8E7901"/>
    <w:rsid w:val="4F9273F2"/>
    <w:rsid w:val="4F9B4980"/>
    <w:rsid w:val="4FA113E3"/>
    <w:rsid w:val="4FAB400F"/>
    <w:rsid w:val="4FC11A85"/>
    <w:rsid w:val="4FD858A9"/>
    <w:rsid w:val="4FDA48F5"/>
    <w:rsid w:val="4FDF015D"/>
    <w:rsid w:val="4FDF1F0B"/>
    <w:rsid w:val="4FE15C83"/>
    <w:rsid w:val="4FE34F7E"/>
    <w:rsid w:val="4FE87B45"/>
    <w:rsid w:val="4FE9BD67"/>
    <w:rsid w:val="4FFB052F"/>
    <w:rsid w:val="50125E3D"/>
    <w:rsid w:val="50355FCF"/>
    <w:rsid w:val="50373AF5"/>
    <w:rsid w:val="504F7091"/>
    <w:rsid w:val="505C355C"/>
    <w:rsid w:val="505C7A00"/>
    <w:rsid w:val="506D5769"/>
    <w:rsid w:val="50AF18DD"/>
    <w:rsid w:val="50B27620"/>
    <w:rsid w:val="50B9275C"/>
    <w:rsid w:val="50C555A5"/>
    <w:rsid w:val="50D61560"/>
    <w:rsid w:val="50E13A61"/>
    <w:rsid w:val="50E27F05"/>
    <w:rsid w:val="50E35A2B"/>
    <w:rsid w:val="50E7376D"/>
    <w:rsid w:val="50F6575E"/>
    <w:rsid w:val="50F9524E"/>
    <w:rsid w:val="50FC089B"/>
    <w:rsid w:val="510A745C"/>
    <w:rsid w:val="510D4856"/>
    <w:rsid w:val="51416E8D"/>
    <w:rsid w:val="514C35D0"/>
    <w:rsid w:val="515B3813"/>
    <w:rsid w:val="519B00B4"/>
    <w:rsid w:val="51CD2963"/>
    <w:rsid w:val="51DD247A"/>
    <w:rsid w:val="51F6353C"/>
    <w:rsid w:val="520B5239"/>
    <w:rsid w:val="520F687F"/>
    <w:rsid w:val="522E2CD6"/>
    <w:rsid w:val="523621EC"/>
    <w:rsid w:val="52614E59"/>
    <w:rsid w:val="52750905"/>
    <w:rsid w:val="529E42FF"/>
    <w:rsid w:val="52A77E82"/>
    <w:rsid w:val="52AD009F"/>
    <w:rsid w:val="52AF2069"/>
    <w:rsid w:val="52BE22AC"/>
    <w:rsid w:val="52C27FEE"/>
    <w:rsid w:val="52C35B14"/>
    <w:rsid w:val="52D97D64"/>
    <w:rsid w:val="52E33975"/>
    <w:rsid w:val="52E361B6"/>
    <w:rsid w:val="53057EDB"/>
    <w:rsid w:val="53083A92"/>
    <w:rsid w:val="53253728"/>
    <w:rsid w:val="53281E1B"/>
    <w:rsid w:val="532D11DF"/>
    <w:rsid w:val="534F1156"/>
    <w:rsid w:val="535906C7"/>
    <w:rsid w:val="53620E89"/>
    <w:rsid w:val="536A5F90"/>
    <w:rsid w:val="536F7A4A"/>
    <w:rsid w:val="53722A3B"/>
    <w:rsid w:val="537E6D0A"/>
    <w:rsid w:val="538F3C48"/>
    <w:rsid w:val="53A616BE"/>
    <w:rsid w:val="53AF27A2"/>
    <w:rsid w:val="53D578AD"/>
    <w:rsid w:val="53E67D0C"/>
    <w:rsid w:val="53F32429"/>
    <w:rsid w:val="53F73CC7"/>
    <w:rsid w:val="53F74C96"/>
    <w:rsid w:val="53FD5056"/>
    <w:rsid w:val="540939FA"/>
    <w:rsid w:val="543640C4"/>
    <w:rsid w:val="54493DF7"/>
    <w:rsid w:val="54554E92"/>
    <w:rsid w:val="546E385E"/>
    <w:rsid w:val="54840BF1"/>
    <w:rsid w:val="54844B07"/>
    <w:rsid w:val="548E573D"/>
    <w:rsid w:val="54931516"/>
    <w:rsid w:val="549A28A4"/>
    <w:rsid w:val="54E3249D"/>
    <w:rsid w:val="54EB1B0B"/>
    <w:rsid w:val="54F63F7F"/>
    <w:rsid w:val="550146D2"/>
    <w:rsid w:val="55180399"/>
    <w:rsid w:val="55453CB8"/>
    <w:rsid w:val="555B0286"/>
    <w:rsid w:val="557355CF"/>
    <w:rsid w:val="557E3F74"/>
    <w:rsid w:val="558F6181"/>
    <w:rsid w:val="559B68D4"/>
    <w:rsid w:val="55A0038E"/>
    <w:rsid w:val="55A35789"/>
    <w:rsid w:val="55AD05A3"/>
    <w:rsid w:val="55D1679A"/>
    <w:rsid w:val="55E738C7"/>
    <w:rsid w:val="561A1EEF"/>
    <w:rsid w:val="563034C0"/>
    <w:rsid w:val="5632548A"/>
    <w:rsid w:val="563F3703"/>
    <w:rsid w:val="56400843"/>
    <w:rsid w:val="56682C5A"/>
    <w:rsid w:val="56754367"/>
    <w:rsid w:val="56A1616C"/>
    <w:rsid w:val="56AD4B11"/>
    <w:rsid w:val="56C854A7"/>
    <w:rsid w:val="56D025AE"/>
    <w:rsid w:val="56D55E16"/>
    <w:rsid w:val="56E47B74"/>
    <w:rsid w:val="56E90D97"/>
    <w:rsid w:val="56FE35BF"/>
    <w:rsid w:val="570113C7"/>
    <w:rsid w:val="570B7A8A"/>
    <w:rsid w:val="5712706A"/>
    <w:rsid w:val="57127095"/>
    <w:rsid w:val="571407D2"/>
    <w:rsid w:val="571903F8"/>
    <w:rsid w:val="571921A6"/>
    <w:rsid w:val="57452F9B"/>
    <w:rsid w:val="57465EFE"/>
    <w:rsid w:val="57713D91"/>
    <w:rsid w:val="578735B4"/>
    <w:rsid w:val="57917F8F"/>
    <w:rsid w:val="57A06424"/>
    <w:rsid w:val="57BD3DD4"/>
    <w:rsid w:val="57F86260"/>
    <w:rsid w:val="58247055"/>
    <w:rsid w:val="582E1C82"/>
    <w:rsid w:val="583C439E"/>
    <w:rsid w:val="58443253"/>
    <w:rsid w:val="58507E4A"/>
    <w:rsid w:val="587D49B7"/>
    <w:rsid w:val="58810003"/>
    <w:rsid w:val="589F0489"/>
    <w:rsid w:val="58B32187"/>
    <w:rsid w:val="58B71C77"/>
    <w:rsid w:val="58EF700E"/>
    <w:rsid w:val="58F713D3"/>
    <w:rsid w:val="58F85DEC"/>
    <w:rsid w:val="590B3D71"/>
    <w:rsid w:val="591B7ABC"/>
    <w:rsid w:val="59205A6E"/>
    <w:rsid w:val="593F3A1A"/>
    <w:rsid w:val="5954396A"/>
    <w:rsid w:val="598002BB"/>
    <w:rsid w:val="59927FEE"/>
    <w:rsid w:val="59AC7302"/>
    <w:rsid w:val="59AD307A"/>
    <w:rsid w:val="59B14918"/>
    <w:rsid w:val="59B9557B"/>
    <w:rsid w:val="59BD150F"/>
    <w:rsid w:val="59C07D51"/>
    <w:rsid w:val="59C4289D"/>
    <w:rsid w:val="59CD1026"/>
    <w:rsid w:val="59D26D36"/>
    <w:rsid w:val="59DF76D7"/>
    <w:rsid w:val="5A0A04CC"/>
    <w:rsid w:val="5A407A4A"/>
    <w:rsid w:val="5A4A08C9"/>
    <w:rsid w:val="5A584D94"/>
    <w:rsid w:val="5A6E2809"/>
    <w:rsid w:val="5A7A7400"/>
    <w:rsid w:val="5AA1498D"/>
    <w:rsid w:val="5AE96334"/>
    <w:rsid w:val="5AF745AD"/>
    <w:rsid w:val="5AF92295"/>
    <w:rsid w:val="5B172EA1"/>
    <w:rsid w:val="5B24736C"/>
    <w:rsid w:val="5B265612"/>
    <w:rsid w:val="5B433C96"/>
    <w:rsid w:val="5B48305A"/>
    <w:rsid w:val="5B5A4B3C"/>
    <w:rsid w:val="5B5C0A66"/>
    <w:rsid w:val="5B7C71A8"/>
    <w:rsid w:val="5BB97AB4"/>
    <w:rsid w:val="5BC22E0D"/>
    <w:rsid w:val="5BC70423"/>
    <w:rsid w:val="5BDD79E6"/>
    <w:rsid w:val="5BF561CA"/>
    <w:rsid w:val="5BFF5DFC"/>
    <w:rsid w:val="5C0C052C"/>
    <w:rsid w:val="5C2F7D76"/>
    <w:rsid w:val="5C381321"/>
    <w:rsid w:val="5C471564"/>
    <w:rsid w:val="5C6C4B26"/>
    <w:rsid w:val="5C763BF7"/>
    <w:rsid w:val="5C9127DF"/>
    <w:rsid w:val="5CA442C0"/>
    <w:rsid w:val="5CB70498"/>
    <w:rsid w:val="5CB85FBE"/>
    <w:rsid w:val="5CD71FC4"/>
    <w:rsid w:val="5CDA5F34"/>
    <w:rsid w:val="5CF35248"/>
    <w:rsid w:val="5CF36FF6"/>
    <w:rsid w:val="5D01456F"/>
    <w:rsid w:val="5D1A6C78"/>
    <w:rsid w:val="5D1E0517"/>
    <w:rsid w:val="5D1F11B5"/>
    <w:rsid w:val="5D3513BC"/>
    <w:rsid w:val="5D600B2F"/>
    <w:rsid w:val="5D6121B1"/>
    <w:rsid w:val="5D683540"/>
    <w:rsid w:val="5D6879E4"/>
    <w:rsid w:val="5D6A0443"/>
    <w:rsid w:val="5D7874FB"/>
    <w:rsid w:val="5D8440F2"/>
    <w:rsid w:val="5D8D744A"/>
    <w:rsid w:val="5D902A97"/>
    <w:rsid w:val="5D997B9D"/>
    <w:rsid w:val="5D9E1657"/>
    <w:rsid w:val="5DA052A8"/>
    <w:rsid w:val="5DAA3B58"/>
    <w:rsid w:val="5DAD189A"/>
    <w:rsid w:val="5DAE1B18"/>
    <w:rsid w:val="5DD60DF1"/>
    <w:rsid w:val="5DE30E18"/>
    <w:rsid w:val="5DE7D9E5"/>
    <w:rsid w:val="5DF52041"/>
    <w:rsid w:val="5DFE3EA4"/>
    <w:rsid w:val="5E116B14"/>
    <w:rsid w:val="5E176D14"/>
    <w:rsid w:val="5E413D91"/>
    <w:rsid w:val="5E696F05"/>
    <w:rsid w:val="5E824AD5"/>
    <w:rsid w:val="5EAC3900"/>
    <w:rsid w:val="5ECB5E31"/>
    <w:rsid w:val="5ECEC941"/>
    <w:rsid w:val="5ED13367"/>
    <w:rsid w:val="5ED35331"/>
    <w:rsid w:val="5EE50BC0"/>
    <w:rsid w:val="5EF01A3F"/>
    <w:rsid w:val="5EF07C91"/>
    <w:rsid w:val="5EFD0600"/>
    <w:rsid w:val="5F001FC2"/>
    <w:rsid w:val="5F025C16"/>
    <w:rsid w:val="5F225970"/>
    <w:rsid w:val="5F493CB7"/>
    <w:rsid w:val="5F5244A8"/>
    <w:rsid w:val="5F571ABE"/>
    <w:rsid w:val="5F661D01"/>
    <w:rsid w:val="5F926F9A"/>
    <w:rsid w:val="5F954394"/>
    <w:rsid w:val="5F9E593F"/>
    <w:rsid w:val="5FB92779"/>
    <w:rsid w:val="5FBE1B3D"/>
    <w:rsid w:val="5FBF9FF3"/>
    <w:rsid w:val="5FC609F2"/>
    <w:rsid w:val="5FCD4E2C"/>
    <w:rsid w:val="5FD0250C"/>
    <w:rsid w:val="5FD15F49"/>
    <w:rsid w:val="5FEF394A"/>
    <w:rsid w:val="5FF217E7"/>
    <w:rsid w:val="5FF67715"/>
    <w:rsid w:val="60030297"/>
    <w:rsid w:val="601D2D07"/>
    <w:rsid w:val="603D6F06"/>
    <w:rsid w:val="60545FFD"/>
    <w:rsid w:val="60591866"/>
    <w:rsid w:val="606F4BE5"/>
    <w:rsid w:val="60791F08"/>
    <w:rsid w:val="608F34D9"/>
    <w:rsid w:val="60996106"/>
    <w:rsid w:val="609B3C2C"/>
    <w:rsid w:val="60B42F40"/>
    <w:rsid w:val="60B60A66"/>
    <w:rsid w:val="60D33507"/>
    <w:rsid w:val="60D3786A"/>
    <w:rsid w:val="60D64C64"/>
    <w:rsid w:val="60DD0FD5"/>
    <w:rsid w:val="60EC041D"/>
    <w:rsid w:val="611C0698"/>
    <w:rsid w:val="614918DA"/>
    <w:rsid w:val="6151078F"/>
    <w:rsid w:val="615F2EAC"/>
    <w:rsid w:val="61682339"/>
    <w:rsid w:val="61AE798F"/>
    <w:rsid w:val="61DB6EE5"/>
    <w:rsid w:val="61E82E71"/>
    <w:rsid w:val="61F71336"/>
    <w:rsid w:val="61FE26C5"/>
    <w:rsid w:val="620A72BB"/>
    <w:rsid w:val="6211064A"/>
    <w:rsid w:val="62284BA4"/>
    <w:rsid w:val="62370CCE"/>
    <w:rsid w:val="624A76B8"/>
    <w:rsid w:val="62874F78"/>
    <w:rsid w:val="629628FD"/>
    <w:rsid w:val="62AA0FF0"/>
    <w:rsid w:val="62BF3928"/>
    <w:rsid w:val="62FD297C"/>
    <w:rsid w:val="630A6E47"/>
    <w:rsid w:val="6310591B"/>
    <w:rsid w:val="63161C90"/>
    <w:rsid w:val="631E5E6D"/>
    <w:rsid w:val="63464323"/>
    <w:rsid w:val="635835FF"/>
    <w:rsid w:val="637F7835"/>
    <w:rsid w:val="63A36518"/>
    <w:rsid w:val="63AB062A"/>
    <w:rsid w:val="63AD6150"/>
    <w:rsid w:val="63B514A9"/>
    <w:rsid w:val="63E15DFA"/>
    <w:rsid w:val="63FA510E"/>
    <w:rsid w:val="64033FC2"/>
    <w:rsid w:val="640F3AB9"/>
    <w:rsid w:val="641431CC"/>
    <w:rsid w:val="64283A29"/>
    <w:rsid w:val="642F3009"/>
    <w:rsid w:val="64406FC4"/>
    <w:rsid w:val="64590086"/>
    <w:rsid w:val="64591E34"/>
    <w:rsid w:val="64664551"/>
    <w:rsid w:val="647F5392"/>
    <w:rsid w:val="64A84B6A"/>
    <w:rsid w:val="64B96D77"/>
    <w:rsid w:val="64C41608"/>
    <w:rsid w:val="64CC2606"/>
    <w:rsid w:val="64CE09BD"/>
    <w:rsid w:val="64D140C0"/>
    <w:rsid w:val="64D94D23"/>
    <w:rsid w:val="64E624DB"/>
    <w:rsid w:val="64F25DE5"/>
    <w:rsid w:val="64FB738F"/>
    <w:rsid w:val="65377536"/>
    <w:rsid w:val="65440D49"/>
    <w:rsid w:val="654E25D6"/>
    <w:rsid w:val="655F791E"/>
    <w:rsid w:val="65607A7B"/>
    <w:rsid w:val="65695A9D"/>
    <w:rsid w:val="659A2704"/>
    <w:rsid w:val="65CD58D8"/>
    <w:rsid w:val="65D06126"/>
    <w:rsid w:val="65EE2A50"/>
    <w:rsid w:val="66157FDD"/>
    <w:rsid w:val="662234A0"/>
    <w:rsid w:val="66430FEE"/>
    <w:rsid w:val="664B1D71"/>
    <w:rsid w:val="66570AE7"/>
    <w:rsid w:val="66592B33"/>
    <w:rsid w:val="669B4986"/>
    <w:rsid w:val="669C425A"/>
    <w:rsid w:val="66A01E6F"/>
    <w:rsid w:val="66A01F9C"/>
    <w:rsid w:val="66BE2423"/>
    <w:rsid w:val="66CA0DC7"/>
    <w:rsid w:val="66E520A5"/>
    <w:rsid w:val="66E77BCB"/>
    <w:rsid w:val="66F26570"/>
    <w:rsid w:val="67220C03"/>
    <w:rsid w:val="672A5D0A"/>
    <w:rsid w:val="676254A4"/>
    <w:rsid w:val="67AA3209"/>
    <w:rsid w:val="67B57CC9"/>
    <w:rsid w:val="67C779FD"/>
    <w:rsid w:val="67E81E4D"/>
    <w:rsid w:val="68014CBD"/>
    <w:rsid w:val="680B78E9"/>
    <w:rsid w:val="68152516"/>
    <w:rsid w:val="681C4F0D"/>
    <w:rsid w:val="6821710D"/>
    <w:rsid w:val="683E0616"/>
    <w:rsid w:val="684B5F38"/>
    <w:rsid w:val="68570D81"/>
    <w:rsid w:val="685F19E3"/>
    <w:rsid w:val="686D5EAE"/>
    <w:rsid w:val="6884144A"/>
    <w:rsid w:val="68996CA3"/>
    <w:rsid w:val="68AD274F"/>
    <w:rsid w:val="68C006D4"/>
    <w:rsid w:val="68ED6FEF"/>
    <w:rsid w:val="69046D0F"/>
    <w:rsid w:val="6908207B"/>
    <w:rsid w:val="69104359"/>
    <w:rsid w:val="69126A56"/>
    <w:rsid w:val="691D5B26"/>
    <w:rsid w:val="69236EB5"/>
    <w:rsid w:val="69286279"/>
    <w:rsid w:val="692F7608"/>
    <w:rsid w:val="6931512E"/>
    <w:rsid w:val="69586B5E"/>
    <w:rsid w:val="695D5F23"/>
    <w:rsid w:val="695E1C9B"/>
    <w:rsid w:val="69603C65"/>
    <w:rsid w:val="69635503"/>
    <w:rsid w:val="6971708A"/>
    <w:rsid w:val="698A0CE2"/>
    <w:rsid w:val="698D0931"/>
    <w:rsid w:val="69942891"/>
    <w:rsid w:val="6A1A2066"/>
    <w:rsid w:val="6A3F387A"/>
    <w:rsid w:val="6A4D243B"/>
    <w:rsid w:val="6A546CBE"/>
    <w:rsid w:val="6A58493C"/>
    <w:rsid w:val="6A6B28C1"/>
    <w:rsid w:val="6A7A0D56"/>
    <w:rsid w:val="6A993CED"/>
    <w:rsid w:val="6AA918F8"/>
    <w:rsid w:val="6AFB3C45"/>
    <w:rsid w:val="6B053271"/>
    <w:rsid w:val="6B0D5727"/>
    <w:rsid w:val="6B26477A"/>
    <w:rsid w:val="6B4849B1"/>
    <w:rsid w:val="6B4F21E3"/>
    <w:rsid w:val="6B557B0C"/>
    <w:rsid w:val="6B623CC4"/>
    <w:rsid w:val="6B6F1F3D"/>
    <w:rsid w:val="6B7C57FF"/>
    <w:rsid w:val="6B87372B"/>
    <w:rsid w:val="6B8E2D0B"/>
    <w:rsid w:val="6BA50055"/>
    <w:rsid w:val="6BA8544F"/>
    <w:rsid w:val="6BBD0EFB"/>
    <w:rsid w:val="6BCE6674"/>
    <w:rsid w:val="6BCF204C"/>
    <w:rsid w:val="6BD10E4A"/>
    <w:rsid w:val="6BD66460"/>
    <w:rsid w:val="6C1B4DB5"/>
    <w:rsid w:val="6C1F57A6"/>
    <w:rsid w:val="6C262F44"/>
    <w:rsid w:val="6C4A05C8"/>
    <w:rsid w:val="6C4C513F"/>
    <w:rsid w:val="6C5C4BB7"/>
    <w:rsid w:val="6C6C6979"/>
    <w:rsid w:val="6C8742B8"/>
    <w:rsid w:val="6C8A170F"/>
    <w:rsid w:val="6C8C3392"/>
    <w:rsid w:val="6CAE4CE7"/>
    <w:rsid w:val="6CB54609"/>
    <w:rsid w:val="6CD24E7A"/>
    <w:rsid w:val="6CD52274"/>
    <w:rsid w:val="6D090170"/>
    <w:rsid w:val="6D0A4613"/>
    <w:rsid w:val="6D0E5F35"/>
    <w:rsid w:val="6D2531FB"/>
    <w:rsid w:val="6D785A21"/>
    <w:rsid w:val="6D800432"/>
    <w:rsid w:val="6D8A7502"/>
    <w:rsid w:val="6D8C5028"/>
    <w:rsid w:val="6D9B34BE"/>
    <w:rsid w:val="6DAA54AF"/>
    <w:rsid w:val="6DBF5E93"/>
    <w:rsid w:val="6DE36C13"/>
    <w:rsid w:val="6DF42BCE"/>
    <w:rsid w:val="6DF80910"/>
    <w:rsid w:val="6DFF077E"/>
    <w:rsid w:val="6E02353D"/>
    <w:rsid w:val="6E313E22"/>
    <w:rsid w:val="6E4E7458"/>
    <w:rsid w:val="6E5B2C4D"/>
    <w:rsid w:val="6E777A87"/>
    <w:rsid w:val="6E7E3605"/>
    <w:rsid w:val="6E7FDCC7"/>
    <w:rsid w:val="6E82642B"/>
    <w:rsid w:val="6E85656F"/>
    <w:rsid w:val="6E8B52E0"/>
    <w:rsid w:val="6EA36ACE"/>
    <w:rsid w:val="6EBE0FAE"/>
    <w:rsid w:val="6ED6A62E"/>
    <w:rsid w:val="6EE00B15"/>
    <w:rsid w:val="6F347726"/>
    <w:rsid w:val="6F544B20"/>
    <w:rsid w:val="6F6D2C38"/>
    <w:rsid w:val="6F6FB3EB"/>
    <w:rsid w:val="6F784160"/>
    <w:rsid w:val="6F7C731F"/>
    <w:rsid w:val="6F84055F"/>
    <w:rsid w:val="6F8731EA"/>
    <w:rsid w:val="6FBE3493"/>
    <w:rsid w:val="6FCE6052"/>
    <w:rsid w:val="6FD1766A"/>
    <w:rsid w:val="6FD57C00"/>
    <w:rsid w:val="6FE23626"/>
    <w:rsid w:val="6FEFFFD8"/>
    <w:rsid w:val="6FF5CC65"/>
    <w:rsid w:val="6FFB47EC"/>
    <w:rsid w:val="6FFF034A"/>
    <w:rsid w:val="7003534A"/>
    <w:rsid w:val="700355B0"/>
    <w:rsid w:val="70076BE8"/>
    <w:rsid w:val="703A0DBD"/>
    <w:rsid w:val="703B0F88"/>
    <w:rsid w:val="70496804"/>
    <w:rsid w:val="70780901"/>
    <w:rsid w:val="70787AE6"/>
    <w:rsid w:val="70853FB1"/>
    <w:rsid w:val="70C8102F"/>
    <w:rsid w:val="70F21646"/>
    <w:rsid w:val="70F27898"/>
    <w:rsid w:val="70FC4273"/>
    <w:rsid w:val="712A28F1"/>
    <w:rsid w:val="71445C1A"/>
    <w:rsid w:val="714D0F73"/>
    <w:rsid w:val="715C0E4B"/>
    <w:rsid w:val="716D7382"/>
    <w:rsid w:val="71834994"/>
    <w:rsid w:val="71893DE9"/>
    <w:rsid w:val="71B927E7"/>
    <w:rsid w:val="71F94C57"/>
    <w:rsid w:val="720535FB"/>
    <w:rsid w:val="720C2BDC"/>
    <w:rsid w:val="72233669"/>
    <w:rsid w:val="722E2B52"/>
    <w:rsid w:val="72734D90"/>
    <w:rsid w:val="72834520"/>
    <w:rsid w:val="728409C4"/>
    <w:rsid w:val="728C1627"/>
    <w:rsid w:val="728E539F"/>
    <w:rsid w:val="729130E1"/>
    <w:rsid w:val="72B07BEC"/>
    <w:rsid w:val="72BC63B0"/>
    <w:rsid w:val="72CC510C"/>
    <w:rsid w:val="72E33128"/>
    <w:rsid w:val="7318735E"/>
    <w:rsid w:val="7332FE48"/>
    <w:rsid w:val="733A1083"/>
    <w:rsid w:val="73530396"/>
    <w:rsid w:val="735D3FB1"/>
    <w:rsid w:val="736C3AB2"/>
    <w:rsid w:val="738243A5"/>
    <w:rsid w:val="7386076C"/>
    <w:rsid w:val="738B5D82"/>
    <w:rsid w:val="73A3131E"/>
    <w:rsid w:val="73AB61DA"/>
    <w:rsid w:val="73AD73D5"/>
    <w:rsid w:val="73B6EB34"/>
    <w:rsid w:val="73DC65DE"/>
    <w:rsid w:val="73EA2AA9"/>
    <w:rsid w:val="73FA497D"/>
    <w:rsid w:val="740873D3"/>
    <w:rsid w:val="740F1765"/>
    <w:rsid w:val="741E4551"/>
    <w:rsid w:val="742D6E39"/>
    <w:rsid w:val="743D52CE"/>
    <w:rsid w:val="74404DBF"/>
    <w:rsid w:val="744731E5"/>
    <w:rsid w:val="74527205"/>
    <w:rsid w:val="745A5E80"/>
    <w:rsid w:val="746A3800"/>
    <w:rsid w:val="748C1DB2"/>
    <w:rsid w:val="748D6B9A"/>
    <w:rsid w:val="749649DF"/>
    <w:rsid w:val="74982505"/>
    <w:rsid w:val="74BBD01D"/>
    <w:rsid w:val="74C50E20"/>
    <w:rsid w:val="74ED5379"/>
    <w:rsid w:val="74FC2395"/>
    <w:rsid w:val="75466405"/>
    <w:rsid w:val="755521A4"/>
    <w:rsid w:val="75644ADD"/>
    <w:rsid w:val="757F4DA8"/>
    <w:rsid w:val="75AD0232"/>
    <w:rsid w:val="75AD3D8E"/>
    <w:rsid w:val="75BE243F"/>
    <w:rsid w:val="75DEEEC2"/>
    <w:rsid w:val="75E83018"/>
    <w:rsid w:val="75EB0D5A"/>
    <w:rsid w:val="75EB48B6"/>
    <w:rsid w:val="760D0CD1"/>
    <w:rsid w:val="7610431D"/>
    <w:rsid w:val="7614205F"/>
    <w:rsid w:val="76164029"/>
    <w:rsid w:val="76165DD7"/>
    <w:rsid w:val="76312C11"/>
    <w:rsid w:val="76515061"/>
    <w:rsid w:val="76604F4D"/>
    <w:rsid w:val="76654669"/>
    <w:rsid w:val="76746FA2"/>
    <w:rsid w:val="768F5B89"/>
    <w:rsid w:val="769F401E"/>
    <w:rsid w:val="76A258BD"/>
    <w:rsid w:val="76A2766B"/>
    <w:rsid w:val="76A35191"/>
    <w:rsid w:val="76AD7DBE"/>
    <w:rsid w:val="76AE24B4"/>
    <w:rsid w:val="76DF266D"/>
    <w:rsid w:val="76E3355F"/>
    <w:rsid w:val="76EE0498"/>
    <w:rsid w:val="76EF6628"/>
    <w:rsid w:val="76FF5125"/>
    <w:rsid w:val="77154C42"/>
    <w:rsid w:val="774845B8"/>
    <w:rsid w:val="775748F9"/>
    <w:rsid w:val="776F6FFA"/>
    <w:rsid w:val="77762DFA"/>
    <w:rsid w:val="778769C8"/>
    <w:rsid w:val="77884AB3"/>
    <w:rsid w:val="77955421"/>
    <w:rsid w:val="77A86F03"/>
    <w:rsid w:val="77A92C7B"/>
    <w:rsid w:val="77C90C27"/>
    <w:rsid w:val="77CB0E43"/>
    <w:rsid w:val="77CD4BBB"/>
    <w:rsid w:val="77DA4423"/>
    <w:rsid w:val="77DC22F5"/>
    <w:rsid w:val="77EA017F"/>
    <w:rsid w:val="77F57C6E"/>
    <w:rsid w:val="780E314F"/>
    <w:rsid w:val="78250553"/>
    <w:rsid w:val="78412EB3"/>
    <w:rsid w:val="784E3A38"/>
    <w:rsid w:val="785901FD"/>
    <w:rsid w:val="786A240A"/>
    <w:rsid w:val="786D5A56"/>
    <w:rsid w:val="78CF6711"/>
    <w:rsid w:val="78DB3308"/>
    <w:rsid w:val="78E201F2"/>
    <w:rsid w:val="78F9378E"/>
    <w:rsid w:val="78FB3D31"/>
    <w:rsid w:val="79086DAD"/>
    <w:rsid w:val="790C0167"/>
    <w:rsid w:val="792C76C0"/>
    <w:rsid w:val="792F71B0"/>
    <w:rsid w:val="7931117A"/>
    <w:rsid w:val="79346574"/>
    <w:rsid w:val="794A5D98"/>
    <w:rsid w:val="795E2449"/>
    <w:rsid w:val="796F7812"/>
    <w:rsid w:val="79865022"/>
    <w:rsid w:val="798759BE"/>
    <w:rsid w:val="799040F2"/>
    <w:rsid w:val="79974F09"/>
    <w:rsid w:val="79A74FA7"/>
    <w:rsid w:val="79AE6327"/>
    <w:rsid w:val="79C21DD2"/>
    <w:rsid w:val="79D7FD79"/>
    <w:rsid w:val="79EE5BA4"/>
    <w:rsid w:val="79FF4DD4"/>
    <w:rsid w:val="7A122D59"/>
    <w:rsid w:val="7A266805"/>
    <w:rsid w:val="7A3E3B4E"/>
    <w:rsid w:val="7A5C5D83"/>
    <w:rsid w:val="7A8552D9"/>
    <w:rsid w:val="7A894339"/>
    <w:rsid w:val="7A8D418E"/>
    <w:rsid w:val="7A965738"/>
    <w:rsid w:val="7A990D85"/>
    <w:rsid w:val="7AAC7EE0"/>
    <w:rsid w:val="7AB160CE"/>
    <w:rsid w:val="7ACA7190"/>
    <w:rsid w:val="7AD4000F"/>
    <w:rsid w:val="7AD87AFF"/>
    <w:rsid w:val="7AD95625"/>
    <w:rsid w:val="7AF366E7"/>
    <w:rsid w:val="7AF95CC7"/>
    <w:rsid w:val="7AFF7572"/>
    <w:rsid w:val="7B2F3497"/>
    <w:rsid w:val="7B315461"/>
    <w:rsid w:val="7B3A2568"/>
    <w:rsid w:val="7B6C7DFB"/>
    <w:rsid w:val="7B7315D6"/>
    <w:rsid w:val="7B7B492E"/>
    <w:rsid w:val="7B7F61CD"/>
    <w:rsid w:val="7B803CF3"/>
    <w:rsid w:val="7B954283"/>
    <w:rsid w:val="7BAE4943"/>
    <w:rsid w:val="7BBC11CF"/>
    <w:rsid w:val="7BBFBED0"/>
    <w:rsid w:val="7BC3E394"/>
    <w:rsid w:val="7C0E12FE"/>
    <w:rsid w:val="7C1F3737"/>
    <w:rsid w:val="7C2E374F"/>
    <w:rsid w:val="7C3B5358"/>
    <w:rsid w:val="7CAF4890"/>
    <w:rsid w:val="7CBFC87B"/>
    <w:rsid w:val="7CE0713F"/>
    <w:rsid w:val="7CFE0F48"/>
    <w:rsid w:val="7D103724"/>
    <w:rsid w:val="7D1564DB"/>
    <w:rsid w:val="7D167B79"/>
    <w:rsid w:val="7D2746F3"/>
    <w:rsid w:val="7D311748"/>
    <w:rsid w:val="7D4C6582"/>
    <w:rsid w:val="7D605B8A"/>
    <w:rsid w:val="7D657644"/>
    <w:rsid w:val="7D690EE2"/>
    <w:rsid w:val="7D7EC23E"/>
    <w:rsid w:val="7D7F721D"/>
    <w:rsid w:val="7D8B495A"/>
    <w:rsid w:val="7D8F646F"/>
    <w:rsid w:val="7D916348"/>
    <w:rsid w:val="7D977189"/>
    <w:rsid w:val="7DB52379"/>
    <w:rsid w:val="7DCB56F9"/>
    <w:rsid w:val="7DE44A0D"/>
    <w:rsid w:val="7DF6029C"/>
    <w:rsid w:val="7E062BD5"/>
    <w:rsid w:val="7E132BFC"/>
    <w:rsid w:val="7E154381"/>
    <w:rsid w:val="7E2117BD"/>
    <w:rsid w:val="7E2272E3"/>
    <w:rsid w:val="7E244E09"/>
    <w:rsid w:val="7E4061B1"/>
    <w:rsid w:val="7E7E276B"/>
    <w:rsid w:val="7E8ADEBF"/>
    <w:rsid w:val="7EA67F14"/>
    <w:rsid w:val="7EC30AC6"/>
    <w:rsid w:val="7EC62364"/>
    <w:rsid w:val="7EE03426"/>
    <w:rsid w:val="7EE34CC4"/>
    <w:rsid w:val="7EEF11D3"/>
    <w:rsid w:val="7EF667A6"/>
    <w:rsid w:val="7EF96296"/>
    <w:rsid w:val="7F052E8D"/>
    <w:rsid w:val="7F0709B3"/>
    <w:rsid w:val="7F0971A6"/>
    <w:rsid w:val="7F0A2251"/>
    <w:rsid w:val="7F10538E"/>
    <w:rsid w:val="7F1E5CFC"/>
    <w:rsid w:val="7F392B36"/>
    <w:rsid w:val="7F3F679B"/>
    <w:rsid w:val="7F4D1678"/>
    <w:rsid w:val="7F4F44C1"/>
    <w:rsid w:val="7F4FC4EF"/>
    <w:rsid w:val="7F5E4D54"/>
    <w:rsid w:val="7F606315"/>
    <w:rsid w:val="7F623E3B"/>
    <w:rsid w:val="7F672412"/>
    <w:rsid w:val="7F6E0135"/>
    <w:rsid w:val="7F7973D7"/>
    <w:rsid w:val="7F8244DD"/>
    <w:rsid w:val="7F82628B"/>
    <w:rsid w:val="7F9E0BEB"/>
    <w:rsid w:val="7FA30C79"/>
    <w:rsid w:val="7FAC155A"/>
    <w:rsid w:val="7FAF8ABF"/>
    <w:rsid w:val="7FB7269E"/>
    <w:rsid w:val="7FBF128D"/>
    <w:rsid w:val="7FC96657"/>
    <w:rsid w:val="7FD05249"/>
    <w:rsid w:val="7FDA9588"/>
    <w:rsid w:val="7FDF220F"/>
    <w:rsid w:val="7FE74340"/>
    <w:rsid w:val="7FEDC5F7"/>
    <w:rsid w:val="7FEDD9DE"/>
    <w:rsid w:val="7FF5890D"/>
    <w:rsid w:val="7FF93490"/>
    <w:rsid w:val="7FFF168A"/>
    <w:rsid w:val="99FF2014"/>
    <w:rsid w:val="A6DD0D7F"/>
    <w:rsid w:val="ADC6F725"/>
    <w:rsid w:val="B7CF06AB"/>
    <w:rsid w:val="B7CFA926"/>
    <w:rsid w:val="B7F8786B"/>
    <w:rsid w:val="BABB6AA1"/>
    <w:rsid w:val="BB2F4199"/>
    <w:rsid w:val="BD079C78"/>
    <w:rsid w:val="BD733540"/>
    <w:rsid w:val="BF3735D5"/>
    <w:rsid w:val="BF7F09AC"/>
    <w:rsid w:val="BFD475C3"/>
    <w:rsid w:val="BFDE5EA6"/>
    <w:rsid w:val="CF6FC6F3"/>
    <w:rsid w:val="CFD3D3D7"/>
    <w:rsid w:val="CFDF1009"/>
    <w:rsid w:val="D7D7B16A"/>
    <w:rsid w:val="D8D6DB89"/>
    <w:rsid w:val="DB6F4CAB"/>
    <w:rsid w:val="DB777682"/>
    <w:rsid w:val="DD1FB521"/>
    <w:rsid w:val="DEFBFEAE"/>
    <w:rsid w:val="DF1F3B80"/>
    <w:rsid w:val="DF6F9789"/>
    <w:rsid w:val="DFFFA9E8"/>
    <w:rsid w:val="E5F4E9DC"/>
    <w:rsid w:val="E70FE695"/>
    <w:rsid w:val="ECFED1BC"/>
    <w:rsid w:val="ED1D69BB"/>
    <w:rsid w:val="ED7FD312"/>
    <w:rsid w:val="EF53993F"/>
    <w:rsid w:val="EF6FD633"/>
    <w:rsid w:val="EFBFB2F4"/>
    <w:rsid w:val="EFBFFA21"/>
    <w:rsid w:val="F2BEBCB8"/>
    <w:rsid w:val="F36FB518"/>
    <w:rsid w:val="F3DE1A04"/>
    <w:rsid w:val="F3F722E5"/>
    <w:rsid w:val="FA5F1E70"/>
    <w:rsid w:val="FA5FDB97"/>
    <w:rsid w:val="FB7F486A"/>
    <w:rsid w:val="FBFF5B2E"/>
    <w:rsid w:val="FD7FFE2B"/>
    <w:rsid w:val="FDEE196B"/>
    <w:rsid w:val="FDFE6575"/>
    <w:rsid w:val="FEDFDDC2"/>
    <w:rsid w:val="FEED32F6"/>
    <w:rsid w:val="FEF781DD"/>
    <w:rsid w:val="FF3F7E3F"/>
    <w:rsid w:val="FFBA12D7"/>
    <w:rsid w:val="FFDFFAEE"/>
    <w:rsid w:val="FFF9B57B"/>
    <w:rsid w:val="FFFD61D9"/>
    <w:rsid w:val="FFFD8F59"/>
    <w:rsid w:val="FFFF2BB1"/>
    <w:rsid w:val="FFFFB04D"/>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qFormat="1" w:unhideWhenUsed="0" w:uiPriority="99" w:semiHidden="0"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iPriority="5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9"/>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30"/>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33"/>
    <w:unhideWhenUsed/>
    <w:qFormat/>
    <w:uiPriority w:val="9"/>
    <w:pPr>
      <w:keepNext/>
      <w:keepLines/>
      <w:spacing w:before="260" w:after="260" w:line="416" w:lineRule="auto"/>
      <w:outlineLvl w:val="2"/>
    </w:pPr>
    <w:rPr>
      <w:b/>
      <w:bCs/>
      <w:sz w:val="32"/>
      <w:szCs w:val="32"/>
    </w:rPr>
  </w:style>
  <w:style w:type="character" w:default="1" w:styleId="17">
    <w:name w:val="Default Paragraph Font"/>
    <w:semiHidden/>
    <w:unhideWhenUsed/>
    <w:qFormat/>
    <w:uiPriority w:val="1"/>
  </w:style>
  <w:style w:type="table" w:default="1" w:styleId="16">
    <w:name w:val="Normal Table"/>
    <w:semiHidden/>
    <w:unhideWhenUsed/>
    <w:qFormat/>
    <w:uiPriority w:val="99"/>
    <w:tblPr>
      <w:tblCellMar>
        <w:top w:w="0" w:type="dxa"/>
        <w:left w:w="108" w:type="dxa"/>
        <w:bottom w:w="0" w:type="dxa"/>
        <w:right w:w="108" w:type="dxa"/>
      </w:tblCellMar>
    </w:tblPr>
  </w:style>
  <w:style w:type="paragraph" w:styleId="5">
    <w:name w:val="index 5"/>
    <w:basedOn w:val="1"/>
    <w:next w:val="1"/>
    <w:qFormat/>
    <w:uiPriority w:val="99"/>
    <w:pPr>
      <w:jc w:val="center"/>
    </w:pPr>
    <w:rPr>
      <w:rFonts w:ascii="方正小标宋_GBK" w:eastAsia="方正小标宋_GBK"/>
      <w:sz w:val="44"/>
      <w:szCs w:val="44"/>
    </w:rPr>
  </w:style>
  <w:style w:type="paragraph" w:styleId="6">
    <w:name w:val="Body Text"/>
    <w:basedOn w:val="1"/>
    <w:next w:val="5"/>
    <w:link w:val="26"/>
    <w:qFormat/>
    <w:uiPriority w:val="99"/>
    <w:pPr>
      <w:spacing w:beforeLines="30"/>
    </w:pPr>
    <w:rPr>
      <w:rFonts w:ascii="仿宋_GB2312" w:eastAsia="仿宋_GB2312"/>
      <w:kern w:val="0"/>
      <w:sz w:val="30"/>
    </w:rPr>
  </w:style>
  <w:style w:type="paragraph" w:styleId="7">
    <w:name w:val="Body Text Indent"/>
    <w:basedOn w:val="1"/>
    <w:next w:val="8"/>
    <w:qFormat/>
    <w:uiPriority w:val="0"/>
    <w:pPr>
      <w:spacing w:after="120"/>
      <w:ind w:left="200" w:leftChars="200"/>
    </w:pPr>
    <w:rPr>
      <w:rFonts w:ascii="仿宋_GB2312"/>
      <w:szCs w:val="32"/>
    </w:rPr>
  </w:style>
  <w:style w:type="paragraph" w:styleId="8">
    <w:name w:val="Body Text First Indent 2"/>
    <w:basedOn w:val="7"/>
    <w:next w:val="1"/>
    <w:unhideWhenUsed/>
    <w:qFormat/>
    <w:uiPriority w:val="99"/>
    <w:pPr>
      <w:ind w:firstLine="420" w:firstLineChars="200"/>
    </w:pPr>
  </w:style>
  <w:style w:type="paragraph" w:styleId="9">
    <w:name w:val="toc 3"/>
    <w:basedOn w:val="1"/>
    <w:next w:val="1"/>
    <w:unhideWhenUsed/>
    <w:qFormat/>
    <w:uiPriority w:val="39"/>
    <w:pPr>
      <w:tabs>
        <w:tab w:val="right" w:leader="dot" w:pos="8296"/>
      </w:tabs>
      <w:ind w:left="840" w:leftChars="400"/>
    </w:pPr>
  </w:style>
  <w:style w:type="paragraph" w:styleId="10">
    <w:name w:val="Balloon Text"/>
    <w:basedOn w:val="1"/>
    <w:link w:val="32"/>
    <w:semiHidden/>
    <w:unhideWhenUsed/>
    <w:qFormat/>
    <w:uiPriority w:val="99"/>
    <w:rPr>
      <w:sz w:val="18"/>
      <w:szCs w:val="18"/>
    </w:rPr>
  </w:style>
  <w:style w:type="paragraph" w:styleId="11">
    <w:name w:val="footer"/>
    <w:basedOn w:val="1"/>
    <w:link w:val="24"/>
    <w:qFormat/>
    <w:uiPriority w:val="99"/>
    <w:pPr>
      <w:tabs>
        <w:tab w:val="center" w:pos="4153"/>
        <w:tab w:val="right" w:pos="8306"/>
      </w:tabs>
      <w:snapToGrid w:val="0"/>
      <w:jc w:val="left"/>
    </w:pPr>
    <w:rPr>
      <w:rFonts w:ascii="Calibri" w:hAnsi="Calibri"/>
      <w:kern w:val="0"/>
      <w:sz w:val="18"/>
      <w:szCs w:val="18"/>
    </w:rPr>
  </w:style>
  <w:style w:type="paragraph" w:styleId="12">
    <w:name w:val="header"/>
    <w:basedOn w:val="1"/>
    <w:link w:val="22"/>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3">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4">
    <w:name w:val="footnote text"/>
    <w:basedOn w:val="1"/>
    <w:next w:val="8"/>
    <w:semiHidden/>
    <w:qFormat/>
    <w:uiPriority w:val="0"/>
    <w:pPr>
      <w:snapToGrid w:val="0"/>
      <w:jc w:val="left"/>
    </w:pPr>
    <w:rPr>
      <w:sz w:val="18"/>
      <w:szCs w:val="18"/>
    </w:rPr>
  </w:style>
  <w:style w:type="paragraph" w:styleId="15">
    <w:name w:val="toc 2"/>
    <w:basedOn w:val="1"/>
    <w:next w:val="1"/>
    <w:unhideWhenUsed/>
    <w:qFormat/>
    <w:uiPriority w:val="39"/>
    <w:pPr>
      <w:tabs>
        <w:tab w:val="right" w:leader="dot" w:pos="8296"/>
      </w:tabs>
      <w:ind w:left="420" w:leftChars="200"/>
    </w:pPr>
  </w:style>
  <w:style w:type="character" w:styleId="18">
    <w:name w:val="Strong"/>
    <w:basedOn w:val="17"/>
    <w:qFormat/>
    <w:uiPriority w:val="99"/>
    <w:rPr>
      <w:b/>
    </w:rPr>
  </w:style>
  <w:style w:type="character" w:styleId="19">
    <w:name w:val="Hyperlink"/>
    <w:basedOn w:val="17"/>
    <w:unhideWhenUsed/>
    <w:qFormat/>
    <w:uiPriority w:val="99"/>
    <w:rPr>
      <w:color w:val="0000FF" w:themeColor="hyperlink"/>
      <w:u w:val="single"/>
      <w14:textFill>
        <w14:solidFill>
          <w14:schemeClr w14:val="hlink"/>
        </w14:solidFill>
      </w14:textFill>
    </w:rPr>
  </w:style>
  <w:style w:type="paragraph" w:customStyle="1" w:styleId="20">
    <w:name w:val="标题 5（有编号）（绿盟科技）"/>
    <w:next w:val="1"/>
    <w:qFormat/>
    <w:uiPriority w:val="99"/>
    <w:pPr>
      <w:keepNext/>
      <w:keepLines/>
      <w:widowControl w:val="0"/>
      <w:spacing w:before="280" w:after="156" w:line="377" w:lineRule="auto"/>
      <w:outlineLvl w:val="4"/>
    </w:pPr>
    <w:rPr>
      <w:rFonts w:ascii="Arial" w:hAnsi="Arial" w:eastAsia="黑体" w:cs="Times New Roman"/>
      <w:b/>
      <w:kern w:val="2"/>
      <w:sz w:val="24"/>
      <w:szCs w:val="28"/>
      <w:lang w:val="en-US" w:eastAsia="zh-CN" w:bidi="ar-SA"/>
    </w:rPr>
  </w:style>
  <w:style w:type="character" w:customStyle="1" w:styleId="21">
    <w:name w:val="Header Char"/>
    <w:basedOn w:val="17"/>
    <w:semiHidden/>
    <w:qFormat/>
    <w:uiPriority w:val="99"/>
    <w:rPr>
      <w:rFonts w:ascii="Times New Roman" w:hAnsi="Times New Roman"/>
      <w:sz w:val="18"/>
      <w:szCs w:val="18"/>
    </w:rPr>
  </w:style>
  <w:style w:type="character" w:customStyle="1" w:styleId="22">
    <w:name w:val="页眉 字符"/>
    <w:link w:val="12"/>
    <w:semiHidden/>
    <w:qFormat/>
    <w:locked/>
    <w:uiPriority w:val="99"/>
    <w:rPr>
      <w:sz w:val="18"/>
    </w:rPr>
  </w:style>
  <w:style w:type="character" w:customStyle="1" w:styleId="23">
    <w:name w:val="Footer Char"/>
    <w:basedOn w:val="17"/>
    <w:semiHidden/>
    <w:qFormat/>
    <w:uiPriority w:val="99"/>
    <w:rPr>
      <w:rFonts w:ascii="Times New Roman" w:hAnsi="Times New Roman"/>
      <w:sz w:val="18"/>
      <w:szCs w:val="18"/>
    </w:rPr>
  </w:style>
  <w:style w:type="character" w:customStyle="1" w:styleId="24">
    <w:name w:val="页脚 字符"/>
    <w:link w:val="11"/>
    <w:qFormat/>
    <w:locked/>
    <w:uiPriority w:val="99"/>
    <w:rPr>
      <w:sz w:val="18"/>
    </w:rPr>
  </w:style>
  <w:style w:type="character" w:customStyle="1" w:styleId="25">
    <w:name w:val="Body Text Char"/>
    <w:basedOn w:val="17"/>
    <w:semiHidden/>
    <w:qFormat/>
    <w:uiPriority w:val="99"/>
    <w:rPr>
      <w:rFonts w:ascii="Times New Roman" w:hAnsi="Times New Roman"/>
      <w:szCs w:val="24"/>
    </w:rPr>
  </w:style>
  <w:style w:type="character" w:customStyle="1" w:styleId="26">
    <w:name w:val="正文文本 字符"/>
    <w:link w:val="6"/>
    <w:qFormat/>
    <w:locked/>
    <w:uiPriority w:val="99"/>
    <w:rPr>
      <w:rFonts w:ascii="仿宋_GB2312" w:hAnsi="Times New Roman" w:eastAsia="仿宋_GB2312"/>
      <w:sz w:val="24"/>
    </w:rPr>
  </w:style>
  <w:style w:type="paragraph" w:customStyle="1" w:styleId="27">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styleId="28">
    <w:name w:val="List Paragraph"/>
    <w:basedOn w:val="1"/>
    <w:qFormat/>
    <w:uiPriority w:val="34"/>
    <w:pPr>
      <w:ind w:firstLine="420" w:firstLineChars="200"/>
    </w:pPr>
  </w:style>
  <w:style w:type="character" w:customStyle="1" w:styleId="29">
    <w:name w:val="标题 1 字符"/>
    <w:basedOn w:val="17"/>
    <w:link w:val="2"/>
    <w:qFormat/>
    <w:uiPriority w:val="9"/>
    <w:rPr>
      <w:rFonts w:ascii="Times New Roman" w:hAnsi="Times New Roman"/>
      <w:b/>
      <w:bCs/>
      <w:kern w:val="44"/>
      <w:sz w:val="44"/>
      <w:szCs w:val="44"/>
    </w:rPr>
  </w:style>
  <w:style w:type="character" w:customStyle="1" w:styleId="30">
    <w:name w:val="标题 2 字符"/>
    <w:basedOn w:val="17"/>
    <w:link w:val="3"/>
    <w:qFormat/>
    <w:uiPriority w:val="9"/>
    <w:rPr>
      <w:rFonts w:asciiTheme="majorHAnsi" w:hAnsiTheme="majorHAnsi" w:eastAsiaTheme="majorEastAsia" w:cstheme="majorBidi"/>
      <w:b/>
      <w:bCs/>
      <w:kern w:val="2"/>
      <w:sz w:val="32"/>
      <w:szCs w:val="32"/>
    </w:rPr>
  </w:style>
  <w:style w:type="paragraph" w:customStyle="1" w:styleId="31">
    <w:name w:val="TOC 标题1"/>
    <w:basedOn w:val="2"/>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32">
    <w:name w:val="批注框文本 字符"/>
    <w:basedOn w:val="17"/>
    <w:link w:val="10"/>
    <w:semiHidden/>
    <w:qFormat/>
    <w:uiPriority w:val="99"/>
    <w:rPr>
      <w:rFonts w:ascii="Times New Roman" w:hAnsi="Times New Roman"/>
      <w:kern w:val="2"/>
      <w:sz w:val="18"/>
      <w:szCs w:val="18"/>
    </w:rPr>
  </w:style>
  <w:style w:type="character" w:customStyle="1" w:styleId="33">
    <w:name w:val="标题 3 字符"/>
    <w:basedOn w:val="17"/>
    <w:link w:val="4"/>
    <w:qFormat/>
    <w:uiPriority w:val="9"/>
    <w:rPr>
      <w:rFonts w:ascii="Times New Roman" w:hAnsi="Times New Roman"/>
      <w:b/>
      <w:bCs/>
      <w:kern w:val="2"/>
      <w:sz w:val="32"/>
      <w:szCs w:val="32"/>
    </w:rPr>
  </w:style>
  <w:style w:type="paragraph" w:customStyle="1" w:styleId="34">
    <w:name w:val="TOC 标题2"/>
    <w:basedOn w:val="2"/>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paragraph" w:customStyle="1" w:styleId="35">
    <w:name w:val="四号正文"/>
    <w:basedOn w:val="1"/>
    <w:qFormat/>
    <w:uiPriority w:val="0"/>
    <w:pPr>
      <w:spacing w:line="360" w:lineRule="auto"/>
    </w:pPr>
    <w:rPr>
      <w:rFonts w:ascii="??" w:hAnsi="??"/>
      <w:color w:val="000000"/>
      <w:kern w:val="0"/>
      <w:sz w:val="28"/>
      <w:szCs w:val="21"/>
      <w:lang w:val="zh-CN"/>
    </w:r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numbering" Target="numbering.xml"/><Relationship Id="rId14" Type="http://schemas.openxmlformats.org/officeDocument/2006/relationships/customXml" Target="../customXml/item1.xml"/><Relationship Id="rId13" Type="http://schemas.openxmlformats.org/officeDocument/2006/relationships/image" Target="media/image7.png"/><Relationship Id="rId12" Type="http://schemas.openxmlformats.org/officeDocument/2006/relationships/image" Target="media/image6.png"/><Relationship Id="rId11" Type="http://schemas.openxmlformats.org/officeDocument/2006/relationships/image" Target="media/image5.png"/><Relationship Id="rId10" Type="http://schemas.openxmlformats.org/officeDocument/2006/relationships/image" Target="media/image4.png"/><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66</Pages>
  <Words>492</Words>
  <Characters>520</Characters>
  <Lines>220</Lines>
  <Paragraphs>62</Paragraphs>
  <TotalTime>333</TotalTime>
  <ScaleCrop>false</ScaleCrop>
  <LinksUpToDate>false</LinksUpToDate>
  <CharactersWithSpaces>566</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2020-08-08T17:49:00Z</dcterms:created>
  <dc:creator>曹颖</dc:creator>
  <cp:lastModifiedBy>刘鑫</cp:lastModifiedBy>
  <cp:lastPrinted>2026-08-03T09:27:00Z</cp:lastPrinted>
  <dcterms:modified xsi:type="dcterms:W3CDTF">2026-09-10T01:15:40Z</dcterms:modified>
  <dc:title>四川省***</dc:title>
  <cp:revision>36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400D301575C74348A5277D00A7902E06</vt:lpwstr>
  </property>
  <property fmtid="{D5CDD505-2E9C-101B-9397-08002B2CF9AE}" pid="4" name="KSOTemplateDocerSaveRecord">
    <vt:lpwstr>eyJoZGlkIjoiYjM5NmVhODI0ZDM1ZWIwNjk4YWVmYmIzYTMyYTAyYjMiLCJ1c2VySWQiOiI0NTU4ODUyNjcifQ==</vt:lpwstr>
  </property>
</Properties>
</file>