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580EF">
      <w:pPr>
        <w:rPr>
          <w:color w:val="000000" w:themeColor="text1"/>
          <w14:textFill>
            <w14:solidFill>
              <w14:schemeClr w14:val="tx1"/>
            </w14:solidFill>
          </w14:textFill>
        </w:rPr>
      </w:pPr>
      <w:bookmarkStart w:id="0" w:name="_Toc15396475"/>
      <w:bookmarkStart w:id="1" w:name="_Toc15377193"/>
      <w:bookmarkStart w:id="2" w:name="_Toc15377425"/>
      <w:bookmarkStart w:id="3" w:name="_Toc15378441"/>
      <w:bookmarkStart w:id="4" w:name="_Toc15396597"/>
      <w:bookmarkStart w:id="5" w:name="_Toc15306267"/>
    </w:p>
    <w:p w14:paraId="20FEFDA7">
      <w:pPr>
        <w:pStyle w:val="6"/>
        <w:spacing w:before="93"/>
        <w:jc w:val="center"/>
        <w:rPr>
          <w:rFonts w:ascii="Times New Roman" w:eastAsia="方正小标宋简体"/>
          <w:color w:val="000000" w:themeColor="text1"/>
          <w:kern w:val="2"/>
          <w:sz w:val="44"/>
          <w:szCs w:val="44"/>
          <w14:textFill>
            <w14:solidFill>
              <w14:schemeClr w14:val="tx1"/>
            </w14:solidFill>
          </w14:textFill>
        </w:rPr>
      </w:pPr>
    </w:p>
    <w:p w14:paraId="201C6D38">
      <w:pPr>
        <w:pStyle w:val="6"/>
        <w:spacing w:before="93"/>
        <w:jc w:val="center"/>
        <w:rPr>
          <w:rFonts w:ascii="Times New Roman" w:eastAsia="方正小标宋简体"/>
          <w:color w:val="000000" w:themeColor="text1"/>
          <w:kern w:val="2"/>
          <w:sz w:val="44"/>
          <w:szCs w:val="44"/>
          <w14:textFill>
            <w14:solidFill>
              <w14:schemeClr w14:val="tx1"/>
            </w14:solidFill>
          </w14:textFill>
        </w:rPr>
      </w:pPr>
    </w:p>
    <w:p w14:paraId="336CE59A">
      <w:pPr>
        <w:pStyle w:val="6"/>
        <w:spacing w:before="93"/>
        <w:jc w:val="center"/>
        <w:rPr>
          <w:rFonts w:ascii="Times New Roman" w:eastAsia="方正小标宋简体"/>
          <w:color w:val="000000" w:themeColor="text1"/>
          <w:kern w:val="2"/>
          <w:sz w:val="44"/>
          <w:szCs w:val="44"/>
          <w14:textFill>
            <w14:solidFill>
              <w14:schemeClr w14:val="tx1"/>
            </w14:solidFill>
          </w14:textFill>
        </w:rPr>
      </w:pPr>
    </w:p>
    <w:p w14:paraId="53CB7D29">
      <w:pPr>
        <w:pStyle w:val="6"/>
        <w:spacing w:before="93"/>
        <w:jc w:val="center"/>
        <w:rPr>
          <w:rFonts w:ascii="Times New Roman" w:eastAsia="方正小标宋简体"/>
          <w:color w:val="000000" w:themeColor="text1"/>
          <w:kern w:val="2"/>
          <w:sz w:val="44"/>
          <w:szCs w:val="44"/>
          <w14:textFill>
            <w14:solidFill>
              <w14:schemeClr w14:val="tx1"/>
            </w14:solidFill>
          </w14:textFill>
        </w:rPr>
      </w:pPr>
    </w:p>
    <w:bookmarkEnd w:id="0"/>
    <w:bookmarkEnd w:id="1"/>
    <w:bookmarkEnd w:id="2"/>
    <w:bookmarkEnd w:id="3"/>
    <w:bookmarkEnd w:id="4"/>
    <w:p w14:paraId="03C0AD7A">
      <w:pPr>
        <w:pStyle w:val="6"/>
        <w:spacing w:before="93"/>
        <w:jc w:val="center"/>
        <w:rPr>
          <w:rFonts w:ascii="Times New Roman" w:eastAsia="方正小标宋简体"/>
          <w:color w:val="000000" w:themeColor="text1"/>
          <w:kern w:val="2"/>
          <w:sz w:val="44"/>
          <w:szCs w:val="44"/>
          <w14:textFill>
            <w14:solidFill>
              <w14:schemeClr w14:val="tx1"/>
            </w14:solidFill>
          </w14:textFill>
        </w:rPr>
      </w:pPr>
      <w:bookmarkStart w:id="6" w:name="_Toc15378442"/>
      <w:bookmarkStart w:id="7" w:name="_Toc15377426"/>
      <w:bookmarkStart w:id="8" w:name="_Toc15396598"/>
      <w:bookmarkStart w:id="9" w:name="_Toc15396476"/>
      <w:bookmarkStart w:id="10" w:name="_Toc15377194"/>
      <w:r>
        <w:rPr>
          <w:rFonts w:hint="eastAsia" w:ascii="Times New Roman" w:eastAsia="方正小标宋简体"/>
          <w:color w:val="000000" w:themeColor="text1"/>
          <w:kern w:val="2"/>
          <w:sz w:val="44"/>
          <w:szCs w:val="44"/>
          <w14:textFill>
            <w14:solidFill>
              <w14:schemeClr w14:val="tx1"/>
            </w14:solidFill>
          </w14:textFill>
        </w:rPr>
        <w:t>2025年度</w:t>
      </w:r>
    </w:p>
    <w:p w14:paraId="7B744166">
      <w:pPr>
        <w:pStyle w:val="6"/>
        <w:spacing w:before="93"/>
        <w:jc w:val="center"/>
        <w:rPr>
          <w:rFonts w:ascii="Times New Roman" w:eastAsia="方正小标宋简体"/>
          <w:color w:val="000000" w:themeColor="text1"/>
          <w:kern w:val="2"/>
          <w:sz w:val="44"/>
          <w:szCs w:val="44"/>
          <w14:textFill>
            <w14:solidFill>
              <w14:schemeClr w14:val="tx1"/>
            </w14:solidFill>
          </w14:textFill>
        </w:rPr>
      </w:pPr>
      <w:r>
        <w:rPr>
          <w:rFonts w:hint="eastAsia" w:ascii="Times New Roman" w:eastAsia="方正小标宋简体"/>
          <w:color w:val="000000" w:themeColor="text1"/>
          <w:kern w:val="2"/>
          <w:sz w:val="44"/>
          <w:szCs w:val="44"/>
          <w14:textFill>
            <w14:solidFill>
              <w14:schemeClr w14:val="tx1"/>
            </w14:solidFill>
          </w14:textFill>
        </w:rPr>
        <w:t>攀枝花市</w:t>
      </w:r>
      <w:bookmarkEnd w:id="5"/>
      <w:bookmarkStart w:id="11" w:name="_Toc15306268"/>
      <w:r>
        <w:rPr>
          <w:rFonts w:hint="eastAsia" w:ascii="Times New Roman" w:eastAsia="方正小标宋简体"/>
          <w:color w:val="000000" w:themeColor="text1"/>
          <w:kern w:val="2"/>
          <w:sz w:val="44"/>
          <w:szCs w:val="44"/>
          <w14:textFill>
            <w14:solidFill>
              <w14:schemeClr w14:val="tx1"/>
            </w14:solidFill>
          </w14:textFill>
        </w:rPr>
        <w:t>发展和改革委员会</w:t>
      </w:r>
      <w:r>
        <w:rPr>
          <w:rFonts w:hint="eastAsia" w:ascii="Times New Roman" w:eastAsia="方正小标宋简体"/>
          <w:color w:val="000000" w:themeColor="text1"/>
          <w:kern w:val="2"/>
          <w:sz w:val="44"/>
          <w:szCs w:val="44"/>
          <w:lang w:val="en-US" w:eastAsia="zh-CN"/>
          <w14:textFill>
            <w14:solidFill>
              <w14:schemeClr w14:val="tx1"/>
            </w14:solidFill>
          </w14:textFill>
        </w:rPr>
        <w:t>单位</w:t>
      </w:r>
      <w:r>
        <w:rPr>
          <w:rFonts w:hint="eastAsia" w:ascii="Times New Roman" w:eastAsia="方正小标宋简体"/>
          <w:color w:val="000000" w:themeColor="text1"/>
          <w:kern w:val="2"/>
          <w:sz w:val="44"/>
          <w:szCs w:val="44"/>
          <w14:textFill>
            <w14:solidFill>
              <w14:schemeClr w14:val="tx1"/>
            </w14:solidFill>
          </w14:textFill>
        </w:rPr>
        <w:t>决算</w:t>
      </w:r>
      <w:bookmarkEnd w:id="6"/>
      <w:bookmarkEnd w:id="7"/>
      <w:bookmarkEnd w:id="8"/>
      <w:bookmarkEnd w:id="9"/>
      <w:bookmarkEnd w:id="10"/>
      <w:bookmarkEnd w:id="11"/>
    </w:p>
    <w:p w14:paraId="6C17707A">
      <w:pPr>
        <w:widowControl/>
        <w:jc w:val="center"/>
        <w:rPr>
          <w:rFonts w:eastAsia="黑体"/>
          <w:color w:val="000000" w:themeColor="text1"/>
          <w:sz w:val="48"/>
          <w:szCs w:val="48"/>
          <w14:textFill>
            <w14:solidFill>
              <w14:schemeClr w14:val="tx1"/>
            </w14:solidFill>
          </w14:textFill>
        </w:rPr>
      </w:pPr>
    </w:p>
    <w:p w14:paraId="404E4010">
      <w:pPr>
        <w:widowControl/>
        <w:jc w:val="center"/>
        <w:rPr>
          <w:rFonts w:eastAsia="黑体"/>
          <w:color w:val="000000" w:themeColor="text1"/>
          <w:sz w:val="48"/>
          <w:szCs w:val="48"/>
          <w14:textFill>
            <w14:solidFill>
              <w14:schemeClr w14:val="tx1"/>
            </w14:solidFill>
          </w14:textFill>
        </w:rPr>
      </w:pPr>
    </w:p>
    <w:p w14:paraId="0AC01CA0">
      <w:pPr>
        <w:widowControl/>
        <w:jc w:val="center"/>
        <w:rPr>
          <w:rFonts w:eastAsia="黑体"/>
          <w:color w:val="000000" w:themeColor="text1"/>
          <w:sz w:val="48"/>
          <w:szCs w:val="48"/>
          <w14:textFill>
            <w14:solidFill>
              <w14:schemeClr w14:val="tx1"/>
            </w14:solidFill>
          </w14:textFill>
        </w:rPr>
      </w:pPr>
    </w:p>
    <w:p w14:paraId="5806AE1B">
      <w:pPr>
        <w:widowControl/>
        <w:jc w:val="center"/>
        <w:rPr>
          <w:rFonts w:eastAsia="黑体"/>
          <w:color w:val="000000" w:themeColor="text1"/>
          <w:sz w:val="48"/>
          <w:szCs w:val="48"/>
          <w14:textFill>
            <w14:solidFill>
              <w14:schemeClr w14:val="tx1"/>
            </w14:solidFill>
          </w14:textFill>
        </w:rPr>
      </w:pPr>
    </w:p>
    <w:p w14:paraId="6194ECBD">
      <w:pPr>
        <w:widowControl/>
        <w:jc w:val="center"/>
        <w:rPr>
          <w:rFonts w:eastAsia="黑体"/>
          <w:color w:val="000000" w:themeColor="text1"/>
          <w:sz w:val="48"/>
          <w:szCs w:val="48"/>
          <w14:textFill>
            <w14:solidFill>
              <w14:schemeClr w14:val="tx1"/>
            </w14:solidFill>
          </w14:textFill>
        </w:rPr>
      </w:pPr>
    </w:p>
    <w:p w14:paraId="171C672B">
      <w:pPr>
        <w:widowControl/>
        <w:jc w:val="center"/>
        <w:rPr>
          <w:rFonts w:eastAsia="黑体"/>
          <w:color w:val="000000" w:themeColor="text1"/>
          <w:sz w:val="48"/>
          <w:szCs w:val="48"/>
          <w14:textFill>
            <w14:solidFill>
              <w14:schemeClr w14:val="tx1"/>
            </w14:solidFill>
          </w14:textFill>
        </w:rPr>
      </w:pPr>
    </w:p>
    <w:p w14:paraId="6D701A73">
      <w:pPr>
        <w:widowControl/>
        <w:jc w:val="center"/>
        <w:rPr>
          <w:rFonts w:eastAsia="黑体"/>
          <w:color w:val="000000" w:themeColor="text1"/>
          <w:sz w:val="48"/>
          <w:szCs w:val="48"/>
          <w14:textFill>
            <w14:solidFill>
              <w14:schemeClr w14:val="tx1"/>
            </w14:solidFill>
          </w14:textFill>
        </w:rPr>
      </w:pPr>
    </w:p>
    <w:p w14:paraId="35AA5A25">
      <w:pPr>
        <w:widowControl/>
        <w:jc w:val="center"/>
        <w:rPr>
          <w:rFonts w:eastAsia="黑体"/>
          <w:color w:val="000000" w:themeColor="text1"/>
          <w:sz w:val="48"/>
          <w:szCs w:val="48"/>
          <w14:textFill>
            <w14:solidFill>
              <w14:schemeClr w14:val="tx1"/>
            </w14:solidFill>
          </w14:textFill>
        </w:rPr>
      </w:pPr>
    </w:p>
    <w:p w14:paraId="2ABDD29A">
      <w:pPr>
        <w:widowControl/>
        <w:jc w:val="center"/>
        <w:rPr>
          <w:rFonts w:eastAsia="黑体"/>
          <w:color w:val="000000" w:themeColor="text1"/>
          <w:sz w:val="48"/>
          <w:szCs w:val="48"/>
          <w14:textFill>
            <w14:solidFill>
              <w14:schemeClr w14:val="tx1"/>
            </w14:solidFill>
          </w14:textFill>
        </w:rPr>
      </w:pPr>
    </w:p>
    <w:p w14:paraId="6FF3AD24">
      <w:pPr>
        <w:widowControl/>
        <w:jc w:val="center"/>
        <w:rPr>
          <w:rFonts w:eastAsia="黑体"/>
          <w:color w:val="000000" w:themeColor="text1"/>
          <w:sz w:val="48"/>
          <w:szCs w:val="48"/>
          <w14:textFill>
            <w14:solidFill>
              <w14:schemeClr w14:val="tx1"/>
            </w14:solidFill>
          </w14:textFill>
        </w:rPr>
      </w:pPr>
    </w:p>
    <w:p w14:paraId="19A5A0C4">
      <w:pPr>
        <w:widowControl/>
        <w:jc w:val="center"/>
        <w:rPr>
          <w:rFonts w:eastAsia="黑体"/>
          <w:color w:val="000000" w:themeColor="text1"/>
          <w:sz w:val="48"/>
          <w:szCs w:val="48"/>
          <w14:textFill>
            <w14:solidFill>
              <w14:schemeClr w14:val="tx1"/>
            </w14:solidFill>
          </w14:textFill>
        </w:rPr>
      </w:pPr>
    </w:p>
    <w:p w14:paraId="389369C7">
      <w:pPr>
        <w:widowControl/>
        <w:jc w:val="center"/>
        <w:rPr>
          <w:rFonts w:eastAsia="黑体"/>
          <w:color w:val="000000" w:themeColor="text1"/>
          <w:sz w:val="48"/>
          <w:szCs w:val="48"/>
          <w14:textFill>
            <w14:solidFill>
              <w14:schemeClr w14:val="tx1"/>
            </w14:solidFill>
          </w14:textFill>
        </w:rPr>
      </w:pPr>
    </w:p>
    <w:p w14:paraId="539CEF34">
      <w:pPr>
        <w:widowControl/>
        <w:jc w:val="center"/>
        <w:rPr>
          <w:rFonts w:eastAsia="黑体"/>
          <w:color w:val="000000" w:themeColor="text1"/>
          <w:sz w:val="48"/>
          <w:szCs w:val="48"/>
          <w14:textFill>
            <w14:solidFill>
              <w14:schemeClr w14:val="tx1"/>
            </w14:solidFill>
          </w14:textFill>
        </w:rPr>
      </w:pPr>
    </w:p>
    <w:p w14:paraId="39EF539A">
      <w:pPr>
        <w:widowControl/>
        <w:rPr>
          <w:rFonts w:eastAsia="黑体"/>
          <w:color w:val="000000" w:themeColor="text1"/>
          <w:sz w:val="48"/>
          <w:szCs w:val="48"/>
          <w14:textFill>
            <w14:solidFill>
              <w14:schemeClr w14:val="tx1"/>
            </w14:solidFill>
          </w14:textFill>
        </w:rPr>
      </w:pPr>
    </w:p>
    <w:sdt>
      <w:sdtPr>
        <w:rPr>
          <w:rFonts w:ascii="宋体" w:hAnsi="宋体"/>
          <w:color w:val="000000" w:themeColor="text1"/>
          <w14:textFill>
            <w14:solidFill>
              <w14:schemeClr w14:val="tx1"/>
            </w14:solidFill>
          </w14:textFill>
        </w:rPr>
        <w:id w:val="147454732"/>
        <w15:color w:val="DBDBDB"/>
        <w:docPartObj>
          <w:docPartGallery w:val="Table of Contents"/>
          <w:docPartUnique/>
        </w:docPartObj>
      </w:sdtPr>
      <w:sdtEndPr>
        <w:rPr>
          <w:rFonts w:ascii="Times New Roman" w:hAnsi="Times New Roman"/>
          <w:color w:val="000000" w:themeColor="text1"/>
          <w14:textFill>
            <w14:solidFill>
              <w14:schemeClr w14:val="tx1"/>
            </w14:solidFill>
          </w14:textFill>
        </w:rPr>
      </w:sdtEndPr>
      <w:sdtContent>
        <w:p w14:paraId="64277D96">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黑体"/>
              <w:color w:val="000000" w:themeColor="text1"/>
              <w:sz w:val="48"/>
              <w:szCs w:val="48"/>
              <w14:textFill>
                <w14:solidFill>
                  <w14:schemeClr w14:val="tx1"/>
                </w14:solidFill>
              </w14:textFill>
            </w:rPr>
          </w:pPr>
          <w:r>
            <w:rPr>
              <w:rFonts w:hint="eastAsia" w:ascii="黑体" w:hAnsi="黑体" w:eastAsia="黑体" w:cs="黑体"/>
              <w:color w:val="000000" w:themeColor="text1"/>
              <w:sz w:val="48"/>
              <w:szCs w:val="48"/>
              <w14:textFill>
                <w14:solidFill>
                  <w14:schemeClr w14:val="tx1"/>
                </w14:solidFill>
              </w14:textFill>
            </w:rPr>
            <w:t>目录</w:t>
          </w:r>
        </w:p>
        <w:p w14:paraId="1578130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color w:val="000000" w:themeColor="text1"/>
              <w14:textFill>
                <w14:solidFill>
                  <w14:schemeClr w14:val="tx1"/>
                </w14:solidFill>
              </w14:textFill>
            </w:rPr>
          </w:pPr>
        </w:p>
        <w:p w14:paraId="6A8D187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color w:val="000000" w:themeColor="text1"/>
              <w14:textFill>
                <w14:solidFill>
                  <w14:schemeClr w14:val="tx1"/>
                </w14:solidFill>
              </w14:textFill>
            </w:rPr>
          </w:pPr>
        </w:p>
        <w:p w14:paraId="06F0797E">
          <w:pPr>
            <w:pStyle w:val="13"/>
            <w:keepNext w:val="0"/>
            <w:keepLines w:val="0"/>
            <w:pageBreakBefore w:val="0"/>
            <w:widowControl w:val="0"/>
            <w:kinsoku/>
            <w:wordWrap/>
            <w:overflowPunct/>
            <w:topLinePunct w:val="0"/>
            <w:autoSpaceDE/>
            <w:autoSpaceDN/>
            <w:bidi w:val="0"/>
            <w:adjustRightInd/>
            <w:snapToGrid/>
            <w:textAlignment w:val="auto"/>
            <w:rPr>
              <w:rFonts w:ascii="Times New Roman" w:hAnsi="Times New Roman"/>
              <w:color w:val="000000" w:themeColor="text1"/>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公开时间：2026年  月  日</w:t>
          </w:r>
        </w:p>
        <w:p w14:paraId="5D26DE05">
          <w:pPr>
            <w:jc w:val="center"/>
            <w:rPr>
              <w:rFonts w:ascii="Times New Roman" w:hAnsi="Times New Roman"/>
              <w:color w:val="000000" w:themeColor="text1"/>
              <w14:textFill>
                <w14:solidFill>
                  <w14:schemeClr w14:val="tx1"/>
                </w14:solidFill>
              </w14:textFill>
            </w:rPr>
          </w:pPr>
        </w:p>
        <w:p w14:paraId="279FFB60">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600" w:lineRule="exact"/>
            <w:textAlignment w:val="auto"/>
            <w:rPr>
              <w:rFonts w:hint="eastAsia" w:ascii="Times New Roman" w:hAnsi="Times New Roman" w:eastAsia="仿宋_GB2312" w:cs="仿宋_GB2312"/>
              <w:sz w:val="32"/>
              <w:szCs w:val="32"/>
            </w:rPr>
          </w:pPr>
          <w:r>
            <w:rPr>
              <w:rFonts w:ascii="Times New Roman" w:hAnsi="Times New Roman" w:eastAsia="仿宋_GB2312"/>
              <w:color w:val="000000" w:themeColor="text1"/>
              <w:sz w:val="32"/>
              <w:szCs w:val="32"/>
              <w14:textFill>
                <w14:solidFill>
                  <w14:schemeClr w14:val="tx1"/>
                </w14:solidFill>
              </w14:textFill>
            </w:rPr>
            <w:fldChar w:fldCharType="begin"/>
          </w:r>
          <w:r>
            <w:rPr>
              <w:rFonts w:ascii="Times New Roman" w:hAnsi="Times New Roman" w:eastAsia="仿宋_GB2312"/>
              <w:color w:val="000000" w:themeColor="text1"/>
              <w:sz w:val="32"/>
              <w:szCs w:val="32"/>
              <w14:textFill>
                <w14:solidFill>
                  <w14:schemeClr w14:val="tx1"/>
                </w14:solidFill>
              </w14:textFill>
            </w:rPr>
            <w:instrText xml:space="preserve">TOC \o "1-2" \h \u </w:instrText>
          </w:r>
          <w:r>
            <w:rPr>
              <w:rFonts w:ascii="Times New Roman" w:hAnsi="Times New Roman" w:eastAsia="仿宋_GB2312"/>
              <w:color w:val="000000" w:themeColor="text1"/>
              <w:sz w:val="32"/>
              <w:szCs w:val="32"/>
              <w14:textFill>
                <w14:solidFill>
                  <w14:schemeClr w14:val="tx1"/>
                </w14:solidFill>
              </w14:textFill>
            </w:rPr>
            <w:fldChar w:fldCharType="separate"/>
          </w:r>
          <w:r>
            <w:rPr>
              <w:rFonts w:hint="eastAsia" w:ascii="Times New Roman" w:hAnsi="Times New Roman" w:eastAsia="黑体" w:cs="黑体"/>
              <w:color w:val="000000" w:themeColor="text1"/>
              <w:sz w:val="32"/>
              <w:szCs w:val="32"/>
              <w14:textFill>
                <w14:solidFill>
                  <w14:schemeClr w14:val="tx1"/>
                </w14:solidFill>
              </w14:textFill>
            </w:rPr>
            <w:fldChar w:fldCharType="begin"/>
          </w:r>
          <w:r>
            <w:rPr>
              <w:rFonts w:hint="eastAsia" w:ascii="Times New Roman" w:hAnsi="Times New Roman" w:eastAsia="黑体" w:cs="黑体"/>
              <w:sz w:val="32"/>
              <w:szCs w:val="32"/>
            </w:rPr>
            <w:instrText xml:space="preserve"> HYPERLINK \l _Toc11220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 xml:space="preserve">第一部分  </w:t>
          </w:r>
          <w:r>
            <w:rPr>
              <w:rFonts w:hint="eastAsia" w:ascii="Times New Roman" w:hAnsi="Times New Roman" w:eastAsia="黑体" w:cs="黑体"/>
              <w:bCs w:val="0"/>
              <w:sz w:val="32"/>
              <w:szCs w:val="32"/>
              <w:lang w:val="en-US" w:eastAsia="zh-CN"/>
            </w:rPr>
            <w:t>单位</w:t>
          </w:r>
          <w:r>
            <w:rPr>
              <w:rFonts w:hint="eastAsia" w:ascii="Times New Roman" w:hAnsi="Times New Roman" w:eastAsia="黑体" w:cs="黑体"/>
              <w:bCs w:val="0"/>
              <w:sz w:val="32"/>
              <w:szCs w:val="32"/>
            </w:rPr>
            <w:t>概况</w:t>
          </w:r>
          <w:r>
            <w:rPr>
              <w:rFonts w:hint="eastAsia" w:ascii="Times New Roman" w:hAnsi="Times New Roman" w:eastAsia="黑体" w:cs="黑体"/>
              <w:sz w:val="32"/>
              <w:szCs w:val="32"/>
            </w:rPr>
            <w:tab/>
          </w:r>
          <w:r>
            <w:rPr>
              <w:rFonts w:hint="eastAsia" w:ascii="Times New Roman" w:hAnsi="Times New Roman" w:eastAsia="黑体" w:cs="黑体"/>
              <w:sz w:val="32"/>
              <w:szCs w:val="32"/>
            </w:rPr>
            <w:fldChar w:fldCharType="begin"/>
          </w:r>
          <w:r>
            <w:rPr>
              <w:rFonts w:hint="eastAsia" w:ascii="Times New Roman" w:hAnsi="Times New Roman" w:eastAsia="黑体" w:cs="黑体"/>
              <w:sz w:val="32"/>
              <w:szCs w:val="32"/>
            </w:rPr>
            <w:instrText xml:space="preserve"> PAGEREF _Toc11220 \h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1</w:t>
          </w:r>
          <w:r>
            <w:rPr>
              <w:rFonts w:hint="eastAsia" w:ascii="Times New Roman" w:hAnsi="Times New Roman" w:eastAsia="黑体" w:cs="黑体"/>
              <w:sz w:val="32"/>
              <w:szCs w:val="32"/>
            </w:rPr>
            <w:fldChar w:fldCharType="end"/>
          </w:r>
          <w:r>
            <w:rPr>
              <w:rFonts w:hint="eastAsia" w:ascii="Times New Roman" w:hAnsi="Times New Roman" w:eastAsia="黑体" w:cs="黑体"/>
              <w:color w:val="000000" w:themeColor="text1"/>
              <w:sz w:val="32"/>
              <w:szCs w:val="32"/>
              <w14:textFill>
                <w14:solidFill>
                  <w14:schemeClr w14:val="tx1"/>
                </w14:solidFill>
              </w14:textFill>
            </w:rPr>
            <w:fldChar w:fldCharType="end"/>
          </w:r>
        </w:p>
        <w:p w14:paraId="07C81C11">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_Toc7999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一、</w:t>
          </w:r>
          <w:r>
            <w:rPr>
              <w:rFonts w:hint="eastAsia" w:ascii="Times New Roman" w:hAnsi="Times New Roman" w:eastAsia="仿宋_GB2312" w:cs="仿宋_GB2312"/>
              <w:sz w:val="32"/>
              <w:szCs w:val="32"/>
              <w:lang w:val="en-US" w:eastAsia="zh-CN"/>
            </w:rPr>
            <w:t>单位</w:t>
          </w:r>
          <w:r>
            <w:rPr>
              <w:rFonts w:hint="eastAsia" w:ascii="Times New Roman" w:hAnsi="Times New Roman" w:eastAsia="仿宋_GB2312" w:cs="仿宋_GB2312"/>
              <w:sz w:val="32"/>
              <w:szCs w:val="32"/>
            </w:rPr>
            <w:t>职责</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_Toc7999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776DC831">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_Toc12583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二、机</w:t>
          </w:r>
          <w:r>
            <w:rPr>
              <w:rFonts w:hint="eastAsia" w:ascii="Times New Roman" w:hAnsi="Times New Roman" w:eastAsia="仿宋_GB2312" w:cs="仿宋_GB2312"/>
              <w:bCs w:val="0"/>
              <w:sz w:val="32"/>
              <w:szCs w:val="32"/>
            </w:rPr>
            <w:t>构设置</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_Toc12583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0B479D18">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_Toc225 </w:instrText>
          </w:r>
          <w:r>
            <w:rPr>
              <w:rFonts w:hint="eastAsia" w:ascii="Times New Roman" w:hAnsi="Times New Roman" w:eastAsia="仿宋_GB2312" w:cs="仿宋_GB2312"/>
              <w:sz w:val="32"/>
              <w:szCs w:val="32"/>
            </w:rPr>
            <w:fldChar w:fldCharType="separate"/>
          </w:r>
          <w:r>
            <w:rPr>
              <w:rFonts w:hint="eastAsia" w:ascii="Times New Roman" w:hAnsi="Times New Roman" w:eastAsia="黑体" w:cs="黑体"/>
              <w:sz w:val="32"/>
              <w:szCs w:val="32"/>
            </w:rPr>
            <w:t>第二部分  2025年度</w:t>
          </w:r>
          <w:r>
            <w:rPr>
              <w:rFonts w:hint="eastAsia" w:ascii="Times New Roman" w:hAnsi="Times New Roman" w:eastAsia="黑体" w:cs="黑体"/>
              <w:sz w:val="32"/>
              <w:szCs w:val="32"/>
              <w:lang w:val="en-US" w:eastAsia="zh-CN"/>
            </w:rPr>
            <w:t>单位</w:t>
          </w:r>
          <w:r>
            <w:rPr>
              <w:rFonts w:hint="eastAsia" w:ascii="Times New Roman" w:hAnsi="Times New Roman" w:eastAsia="黑体" w:cs="黑体"/>
              <w:sz w:val="32"/>
              <w:szCs w:val="32"/>
            </w:rPr>
            <w:t>决算情况说明</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_Toc225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3</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1C173FAA">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_Toc25483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一、收入支出决算总体情况说明</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_Toc25483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3</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33D26E72">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_Toc24439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二、收入决算情况说明</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_Toc24439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3</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7DFCAF7D">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_Toc29607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三、支出决算情况说明</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_Toc29607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4</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08CCEFF8">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_Toc1065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四、财政拨款收入支出决算总体情况说明</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_Toc1065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5</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2EDCEDE1">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_Toc31900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五、一般公共预算财政拨款支出决算情况说明</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_Toc31900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6</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11D5D89F">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_Toc8652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六、一般公共预算财政拨款基本支出决算情况说明</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_Toc8652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9</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37152B7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_Toc8535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七、财政拨款“三公”经费支出决算情况说明</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_Toc8535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9</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280794E2">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_Toc17749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八、政府性基金预算支出决算情况说明</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_Toc17749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12</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728D996C">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_Toc25007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九、国有资本经营预算支出决算情况说明</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_Toc25007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12</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13C55F28">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_Toc25362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十、其他重要事项的情况说明</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_Toc25362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12</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7AE883A8">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_Toc19781 </w:instrText>
          </w:r>
          <w:r>
            <w:rPr>
              <w:rFonts w:hint="eastAsia" w:ascii="Times New Roman" w:hAnsi="Times New Roman" w:eastAsia="仿宋_GB2312" w:cs="仿宋_GB2312"/>
              <w:sz w:val="32"/>
              <w:szCs w:val="32"/>
            </w:rPr>
            <w:fldChar w:fldCharType="separate"/>
          </w:r>
          <w:r>
            <w:rPr>
              <w:rFonts w:hint="eastAsia" w:ascii="Times New Roman" w:hAnsi="Times New Roman" w:eastAsia="黑体" w:cs="黑体"/>
              <w:sz w:val="32"/>
              <w:szCs w:val="32"/>
            </w:rPr>
            <w:t>第三部分  名词解释</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_Toc19781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14</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27D04684">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_Toc11906 </w:instrText>
          </w:r>
          <w:r>
            <w:rPr>
              <w:rFonts w:hint="eastAsia" w:ascii="Times New Roman" w:hAnsi="Times New Roman" w:eastAsia="仿宋_GB2312" w:cs="仿宋_GB2312"/>
              <w:sz w:val="32"/>
              <w:szCs w:val="32"/>
            </w:rPr>
            <w:fldChar w:fldCharType="separate"/>
          </w:r>
          <w:r>
            <w:rPr>
              <w:rFonts w:hint="eastAsia" w:ascii="Times New Roman" w:hAnsi="Times New Roman" w:eastAsia="黑体" w:cs="黑体"/>
              <w:bCs w:val="0"/>
              <w:sz w:val="32"/>
              <w:szCs w:val="32"/>
            </w:rPr>
            <w:t>第四部分  附件</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_Toc11906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19</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2CD94B94">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_Toc10873 </w:instrText>
          </w:r>
          <w:r>
            <w:rPr>
              <w:rFonts w:hint="eastAsia" w:ascii="Times New Roman" w:hAnsi="Times New Roman" w:eastAsia="仿宋_GB2312" w:cs="仿宋_GB2312"/>
              <w:sz w:val="32"/>
              <w:szCs w:val="32"/>
            </w:rPr>
            <w:fldChar w:fldCharType="separate"/>
          </w:r>
          <w:r>
            <w:rPr>
              <w:rFonts w:hint="eastAsia" w:ascii="Times New Roman" w:hAnsi="Times New Roman" w:eastAsia="黑体" w:cs="黑体"/>
              <w:sz w:val="32"/>
              <w:szCs w:val="32"/>
            </w:rPr>
            <w:t>第</w:t>
          </w:r>
          <w:r>
            <w:rPr>
              <w:rFonts w:hint="eastAsia" w:ascii="Times New Roman" w:hAnsi="Times New Roman" w:eastAsia="黑体" w:cs="黑体"/>
              <w:bCs/>
              <w:sz w:val="32"/>
              <w:szCs w:val="32"/>
            </w:rPr>
            <w:t xml:space="preserve">五部分 </w:t>
          </w:r>
          <w:r>
            <w:rPr>
              <w:rFonts w:hint="eastAsia" w:ascii="Times New Roman" w:hAnsi="Times New Roman" w:eastAsia="黑体" w:cs="黑体"/>
              <w:bCs/>
              <w:sz w:val="32"/>
              <w:szCs w:val="32"/>
              <w:lang w:val="en-US" w:eastAsia="zh-CN"/>
            </w:rPr>
            <w:t xml:space="preserve"> </w:t>
          </w:r>
          <w:r>
            <w:rPr>
              <w:rFonts w:hint="eastAsia" w:ascii="Times New Roman" w:hAnsi="Times New Roman" w:eastAsia="黑体" w:cs="黑体"/>
              <w:bCs/>
              <w:sz w:val="32"/>
              <w:szCs w:val="32"/>
            </w:rPr>
            <w:t>附表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_Toc10873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776043F6">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_Toc6651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一、收入支出决算总表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_Toc6651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39F60A78">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_Toc6643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二、收入决算表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_Toc6643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7BA1BCF7">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_Toc1157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三、支出决算表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_Toc1157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1920D85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_Toc17297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四、财政拨款收入支出决算总表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_Toc17297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5CCE864E">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_Toc3989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五、财政拨款支出决算明细表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_Toc3989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56A5262F">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_Toc16320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六、一般公共预算财政拨款支出决算表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_Toc16320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0924240D">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_Toc9098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七、一般公共预算财政拨款支出决算明细表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_Toc9098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2586E380">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_Toc18559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八、一般公共预算财政拨款基本支出决算明细表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_Toc18559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2986B65F">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_Toc8468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九、一般公共预算财政拨款项目支出决算表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_Toc8468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2A4D3D7A">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_Toc22436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十、政府性基金预算财政拨款收入支出决算表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_Toc22436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08AAC67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_Toc28410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十一、国有资本经营预算财政拨款收入支出决算表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_Toc28410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30B7B04B">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_Toc17430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十二、国有资本经营预算财政拨款支出决算表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_Toc17430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036D9EC2">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rPr>
              <w:rFonts w:ascii="Times New Roman" w:hAnsi="Times New Roman"/>
            </w:rPr>
          </w:pPr>
          <w:r>
            <w:rPr>
              <w:rFonts w:hint="eastAsia" w:ascii="Times New Roman" w:hAnsi="Times New Roman" w:eastAsia="仿宋_GB2312" w:cs="仿宋_GB2312"/>
              <w:color w:val="000000" w:themeColor="text1"/>
              <w:sz w:val="32"/>
              <w:szCs w:val="32"/>
              <w14:textFill>
                <w14:solidFill>
                  <w14:schemeClr w14:val="tx1"/>
                </w14:solidFill>
              </w14:textFill>
            </w:rPr>
            <w:fldChar w:fldCharType="begin"/>
          </w:r>
          <w:r>
            <w:rPr>
              <w:rFonts w:hint="eastAsia" w:ascii="Times New Roman" w:hAnsi="Times New Roman" w:eastAsia="仿宋_GB2312" w:cs="仿宋_GB2312"/>
              <w:sz w:val="32"/>
              <w:szCs w:val="32"/>
            </w:rPr>
            <w:instrText xml:space="preserve"> HYPERLINK \l _Toc20178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bCs w:val="0"/>
              <w:sz w:val="32"/>
              <w:szCs w:val="32"/>
            </w:rPr>
            <w:t>十三、财政拨款“三公”经费支出决算表</w:t>
          </w:r>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PAGEREF _Toc20178 \h </w:instrText>
          </w:r>
          <w:r>
            <w:rPr>
              <w:rFonts w:hint="eastAsia" w:ascii="Times New Roman" w:hAnsi="Times New Roman" w:eastAsia="仿宋_GB2312" w:cs="仿宋_GB2312"/>
              <w:sz w:val="32"/>
              <w:szCs w:val="32"/>
            </w:rPr>
            <w:fldChar w:fldCharType="separate"/>
          </w:r>
          <w:r>
            <w:rPr>
              <w:rFonts w:hint="eastAsia" w:ascii="Times New Roman" w:hAnsi="Times New Roman" w:eastAsia="仿宋_GB2312" w:cs="仿宋_GB2312"/>
              <w:sz w:val="32"/>
              <w:szCs w:val="32"/>
            </w:rPr>
            <w:t>20</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color w:val="000000" w:themeColor="text1"/>
              <w:sz w:val="32"/>
              <w:szCs w:val="32"/>
              <w14:textFill>
                <w14:solidFill>
                  <w14:schemeClr w14:val="tx1"/>
                </w14:solidFill>
              </w14:textFill>
            </w:rPr>
            <w:fldChar w:fldCharType="end"/>
          </w:r>
        </w:p>
        <w:p w14:paraId="412359C4">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olor w:val="000000" w:themeColor="text1"/>
              <w14:textFill>
                <w14:solidFill>
                  <w14:schemeClr w14:val="tx1"/>
                </w14:solidFill>
              </w14:textFill>
            </w:rPr>
          </w:pPr>
          <w:r>
            <w:rPr>
              <w:rFonts w:ascii="Times New Roman" w:hAnsi="Times New Roman" w:eastAsia="仿宋_GB2312"/>
              <w:color w:val="000000" w:themeColor="text1"/>
              <w:szCs w:val="32"/>
              <w14:textFill>
                <w14:solidFill>
                  <w14:schemeClr w14:val="tx1"/>
                </w14:solidFill>
              </w14:textFill>
            </w:rPr>
            <w:fldChar w:fldCharType="end"/>
          </w:r>
        </w:p>
      </w:sdtContent>
    </w:sdt>
    <w:p w14:paraId="0BEEB28A">
      <w:pPr>
        <w:pStyle w:val="2"/>
        <w:jc w:val="center"/>
        <w:rPr>
          <w:rFonts w:ascii="Times New Roman" w:hAnsi="Times New Roman" w:eastAsia="方正小标宋简体" w:cs="方正小标宋简体"/>
          <w:b w:val="0"/>
          <w:color w:val="000000" w:themeColor="text1"/>
          <w14:textFill>
            <w14:solidFill>
              <w14:schemeClr w14:val="tx1"/>
            </w14:solidFill>
          </w14:textFill>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bookmarkStart w:id="12" w:name="_Toc15396599"/>
      <w:bookmarkStart w:id="13" w:name="_Toc15377196"/>
    </w:p>
    <w:p w14:paraId="0CC5E4C1">
      <w:pPr>
        <w:pStyle w:val="2"/>
        <w:jc w:val="center"/>
        <w:rPr>
          <w:rFonts w:eastAsia="黑体"/>
          <w:color w:val="000000" w:themeColor="text1"/>
          <w:sz w:val="32"/>
          <w:szCs w:val="32"/>
          <w14:textFill>
            <w14:solidFill>
              <w14:schemeClr w14:val="tx1"/>
            </w14:solidFill>
          </w14:textFill>
        </w:rPr>
      </w:pPr>
      <w:bookmarkStart w:id="14" w:name="_Toc11220"/>
      <w:r>
        <w:rPr>
          <w:rFonts w:hint="eastAsia" w:eastAsia="方正小标宋简体" w:cs="方正小标宋简体"/>
          <w:b w:val="0"/>
          <w:color w:val="000000" w:themeColor="text1"/>
          <w14:textFill>
            <w14:solidFill>
              <w14:schemeClr w14:val="tx1"/>
            </w14:solidFill>
          </w14:textFill>
        </w:rPr>
        <w:t xml:space="preserve">第一部分  </w:t>
      </w:r>
      <w:r>
        <w:rPr>
          <w:rStyle w:val="29"/>
          <w:rFonts w:hint="eastAsia" w:eastAsia="方正小标宋简体" w:cs="方正小标宋简体"/>
          <w:b w:val="0"/>
          <w:bCs w:val="0"/>
          <w:color w:val="000000" w:themeColor="text1"/>
          <w:lang w:val="en-US" w:eastAsia="zh-CN"/>
          <w14:textFill>
            <w14:solidFill>
              <w14:schemeClr w14:val="tx1"/>
            </w14:solidFill>
          </w14:textFill>
        </w:rPr>
        <w:t>单位</w:t>
      </w:r>
      <w:r>
        <w:rPr>
          <w:rStyle w:val="29"/>
          <w:rFonts w:hint="eastAsia" w:eastAsia="方正小标宋简体" w:cs="方正小标宋简体"/>
          <w:b w:val="0"/>
          <w:bCs w:val="0"/>
          <w:color w:val="000000" w:themeColor="text1"/>
          <w14:textFill>
            <w14:solidFill>
              <w14:schemeClr w14:val="tx1"/>
            </w14:solidFill>
          </w14:textFill>
        </w:rPr>
        <w:t>概况</w:t>
      </w:r>
      <w:bookmarkEnd w:id="12"/>
      <w:bookmarkEnd w:id="13"/>
      <w:bookmarkEnd w:id="14"/>
    </w:p>
    <w:p w14:paraId="7E7FA082">
      <w:pPr>
        <w:pStyle w:val="3"/>
        <w:numPr>
          <w:ilvl w:val="0"/>
          <w:numId w:val="1"/>
        </w:numPr>
        <w:spacing w:before="0" w:after="0" w:line="600" w:lineRule="exact"/>
        <w:ind w:firstLine="640" w:firstLineChars="200"/>
        <w:rPr>
          <w:rFonts w:ascii="Times New Roman" w:hAnsi="Times New Roman" w:eastAsia="黑体"/>
          <w:b w:val="0"/>
          <w:color w:val="000000" w:themeColor="text1"/>
          <w14:textFill>
            <w14:solidFill>
              <w14:schemeClr w14:val="tx1"/>
            </w14:solidFill>
          </w14:textFill>
        </w:rPr>
      </w:pPr>
      <w:bookmarkStart w:id="15" w:name="_Toc7999"/>
      <w:r>
        <w:rPr>
          <w:rFonts w:hint="eastAsia" w:ascii="Times New Roman" w:hAnsi="Times New Roman" w:eastAsia="黑体"/>
          <w:b w:val="0"/>
          <w:color w:val="000000" w:themeColor="text1"/>
          <w:lang w:val="en-US" w:eastAsia="zh-CN"/>
          <w14:textFill>
            <w14:solidFill>
              <w14:schemeClr w14:val="tx1"/>
            </w14:solidFill>
          </w14:textFill>
        </w:rPr>
        <w:t>单位</w:t>
      </w:r>
      <w:r>
        <w:rPr>
          <w:rFonts w:hint="eastAsia" w:ascii="Times New Roman" w:hAnsi="Times New Roman" w:eastAsia="黑体"/>
          <w:b w:val="0"/>
          <w:color w:val="000000" w:themeColor="text1"/>
          <w14:textFill>
            <w14:solidFill>
              <w14:schemeClr w14:val="tx1"/>
            </w14:solidFill>
          </w14:textFill>
        </w:rPr>
        <w:t>职责</w:t>
      </w:r>
      <w:bookmarkEnd w:id="15"/>
    </w:p>
    <w:p w14:paraId="5818EE9D">
      <w:pPr>
        <w:pageBreakBefore w:val="0"/>
        <w:widowControl w:val="0"/>
        <w:numPr>
          <w:ilvl w:val="255"/>
          <w:numId w:val="0"/>
        </w:numPr>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攀</w:t>
      </w:r>
      <w:r>
        <w:rPr>
          <w:rFonts w:hint="default" w:ascii="Times New Roman" w:hAnsi="Times New Roman" w:eastAsia="方正仿宋_GB2312" w:cs="Times New Roman"/>
          <w:color w:val="000000" w:themeColor="text1"/>
          <w:sz w:val="32"/>
          <w:szCs w:val="32"/>
          <w14:textFill>
            <w14:solidFill>
              <w14:schemeClr w14:val="tx1"/>
            </w14:solidFill>
          </w14:textFill>
        </w:rPr>
        <w:t>枝花市发展和改革委员会贯彻执行国家有关国民经济和社会发展、经济体制改革的方针、政策和法律、法规；负责汇总分析全市财政、金融等方面情况，参与拟订财政、金融、土地政策；承担指导推进和综合协调全市经济体制改革的责任，研究经济体制改革和对外开放的重大问题及对策；贯彻执行国家和省价格法律、法规和方针、政策，编制和执行价格调整改革规划，组织实施年度价格总水平调控目标及价格调控措施；负责全市投资宏观管理和协调推进重大项目建设，拟订全社会固定资产投资总规模和投资结构的调控目标等；推进经济结构战略性调整，组织拟订全市综合性产业政策，推进重大科技成果产业化；促进城乡区域协调发展，研究分析区域经济和城镇化发展情况；负责重要商品总量平衡和宏观调控，研究分析市内外市场和对外贸易运行情况；负责全市社会发展与国民经济发展的政策衔接，组织拟订社会发展战略、中长期规划和年度计划；推进可持续发展战略，负责全市节能减排的综合协调工作；研究提出全市能源发展战略和政策措施，拟订全市能源发展规划并提出相关体制改革建议；负责指导和协调全市招标投标工作；负责全市铁路建设项目前期工作，组织协调铁路建设工作中的征地拆迁和重大问题；贯彻执行国家、省以工代赈政策，促进民族地区经济社会持续、稳定、协调发展；承担市资源开发委员会（市实施西部大开发领导小组）的具体工作；承担市政府公布的有关行政审批事项；承办市政府交办的其他事项。</w:t>
      </w:r>
    </w:p>
    <w:p w14:paraId="30750F69">
      <w:pPr>
        <w:pStyle w:val="3"/>
        <w:pageBreakBefore w:val="0"/>
        <w:widowControl w:val="0"/>
        <w:kinsoku/>
        <w:wordWrap/>
        <w:overflowPunct/>
        <w:topLinePunct w:val="0"/>
        <w:autoSpaceDE/>
        <w:autoSpaceDN/>
        <w:bidi w:val="0"/>
        <w:spacing w:before="0" w:after="0" w:line="600" w:lineRule="exact"/>
        <w:ind w:firstLine="640" w:firstLineChars="200"/>
        <w:textAlignment w:val="auto"/>
        <w:rPr>
          <w:rStyle w:val="30"/>
          <w:rFonts w:hint="eastAsia" w:ascii="黑体" w:hAnsi="黑体" w:eastAsia="黑体" w:cs="黑体"/>
          <w:b w:val="0"/>
          <w:bCs w:val="0"/>
          <w:color w:val="000000" w:themeColor="text1"/>
          <w14:textFill>
            <w14:solidFill>
              <w14:schemeClr w14:val="tx1"/>
            </w14:solidFill>
          </w14:textFill>
        </w:rPr>
      </w:pPr>
      <w:bookmarkStart w:id="16" w:name="_Toc15396601"/>
      <w:bookmarkStart w:id="17" w:name="_Toc15377200"/>
      <w:bookmarkStart w:id="18" w:name="_Toc12583"/>
      <w:r>
        <w:rPr>
          <w:rFonts w:hint="eastAsia" w:ascii="黑体" w:hAnsi="黑体" w:eastAsia="黑体" w:cs="黑体"/>
          <w:b w:val="0"/>
          <w:color w:val="000000" w:themeColor="text1"/>
          <w14:textFill>
            <w14:solidFill>
              <w14:schemeClr w14:val="tx1"/>
            </w14:solidFill>
          </w14:textFill>
        </w:rPr>
        <w:t>二、机</w:t>
      </w:r>
      <w:r>
        <w:rPr>
          <w:rStyle w:val="30"/>
          <w:rFonts w:hint="eastAsia" w:ascii="黑体" w:hAnsi="黑体" w:eastAsia="黑体" w:cs="黑体"/>
          <w:b w:val="0"/>
          <w:bCs w:val="0"/>
          <w:color w:val="000000" w:themeColor="text1"/>
          <w14:textFill>
            <w14:solidFill>
              <w14:schemeClr w14:val="tx1"/>
            </w14:solidFill>
          </w14:textFill>
        </w:rPr>
        <w:t>构设置</w:t>
      </w:r>
      <w:bookmarkEnd w:id="16"/>
      <w:bookmarkEnd w:id="17"/>
      <w:bookmarkEnd w:id="18"/>
    </w:p>
    <w:p w14:paraId="628BE2A2">
      <w:pPr>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攀枝花市发展和改革委员会下属二级预算单位4个，其中行政单位0个，参照公务员法管理的事业单位</w:t>
      </w:r>
      <w:r>
        <w:rPr>
          <w:rFonts w:hint="default" w:ascii="Times New Roman" w:hAnsi="Times New Roman" w:eastAsia="方正仿宋_GB2312" w:cs="Times New Roman"/>
          <w:bCs/>
          <w:color w:val="000000" w:themeColor="text1"/>
          <w:sz w:val="32"/>
          <w:szCs w:val="32"/>
          <w14:textFill>
            <w14:solidFill>
              <w14:schemeClr w14:val="tx1"/>
            </w14:solidFill>
          </w14:textFill>
        </w:rPr>
        <w:t>0</w:t>
      </w:r>
      <w:r>
        <w:rPr>
          <w:rFonts w:hint="default" w:ascii="Times New Roman" w:hAnsi="Times New Roman" w:eastAsia="方正仿宋_GB2312" w:cs="Times New Roman"/>
          <w:color w:val="000000" w:themeColor="text1"/>
          <w:sz w:val="32"/>
          <w:szCs w:val="32"/>
          <w14:textFill>
            <w14:solidFill>
              <w14:schemeClr w14:val="tx1"/>
            </w14:solidFill>
          </w14:textFill>
        </w:rPr>
        <w:t>个，其他事业单位4个。</w:t>
      </w:r>
    </w:p>
    <w:p w14:paraId="335B9B18">
      <w:pPr>
        <w:pStyle w:val="6"/>
        <w:pageBreakBefore w:val="0"/>
        <w:widowControl w:val="0"/>
        <w:kinsoku/>
        <w:wordWrap/>
        <w:overflowPunct/>
        <w:topLinePunct w:val="0"/>
        <w:autoSpaceDE/>
        <w:autoSpaceDN/>
        <w:bidi w:val="0"/>
        <w:adjustRightInd w:val="0"/>
        <w:snapToGrid w:val="0"/>
        <w:spacing w:beforeLines="0"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纳入攀枝花市发展和改革委员会2025年度部门决算编制范围的二级预算单位包括：</w:t>
      </w:r>
    </w:p>
    <w:p w14:paraId="03E14986">
      <w:pPr>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1.攀枝花市价格认证中心；</w:t>
      </w:r>
    </w:p>
    <w:p w14:paraId="55098374">
      <w:pPr>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2.攀枝花市重要和应急物资储备中心；</w:t>
      </w:r>
    </w:p>
    <w:p w14:paraId="6C1EEE18">
      <w:pPr>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3.攀枝花市重大项目储备中心；</w:t>
      </w:r>
    </w:p>
    <w:p w14:paraId="492CD016">
      <w:pPr>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4.攀枝花市大数据中心。</w:t>
      </w:r>
    </w:p>
    <w:p w14:paraId="3990D397">
      <w:pPr>
        <w:pStyle w:val="6"/>
        <w:adjustRightInd w:val="0"/>
        <w:snapToGrid w:val="0"/>
        <w:spacing w:beforeLines="0" w:line="600" w:lineRule="exact"/>
        <w:ind w:firstLine="640" w:firstLineChars="200"/>
        <w:rPr>
          <w:rFonts w:ascii="Times New Roman" w:cs="仿宋_GB2312"/>
          <w:color w:val="000000" w:themeColor="text1"/>
          <w:sz w:val="32"/>
          <w:szCs w:val="32"/>
          <w14:textFill>
            <w14:solidFill>
              <w14:schemeClr w14:val="tx1"/>
            </w14:solidFill>
          </w14:textFill>
        </w:rPr>
      </w:pPr>
    </w:p>
    <w:p w14:paraId="0D371898">
      <w:pPr>
        <w:widowControl/>
        <w:jc w:val="left"/>
        <w:rPr>
          <w:rFonts w:eastAsia="仿宋"/>
          <w:color w:val="000000" w:themeColor="text1"/>
          <w:kern w:val="0"/>
          <w:sz w:val="32"/>
          <w:szCs w:val="32"/>
          <w14:textFill>
            <w14:solidFill>
              <w14:schemeClr w14:val="tx1"/>
            </w14:solidFill>
          </w14:textFill>
        </w:rPr>
      </w:pPr>
      <w:r>
        <w:rPr>
          <w:rFonts w:eastAsia="仿宋"/>
          <w:color w:val="000000" w:themeColor="text1"/>
          <w:sz w:val="32"/>
          <w:szCs w:val="32"/>
          <w14:textFill>
            <w14:solidFill>
              <w14:schemeClr w14:val="tx1"/>
            </w14:solidFill>
          </w14:textFill>
        </w:rPr>
        <w:br w:type="page"/>
      </w:r>
    </w:p>
    <w:p w14:paraId="4D4AEB9C">
      <w:pPr>
        <w:pStyle w:val="2"/>
        <w:jc w:val="center"/>
        <w:rPr>
          <w:rFonts w:eastAsia="方正小标宋简体" w:cs="方正小标宋简体"/>
          <w:b w:val="0"/>
          <w:color w:val="000000" w:themeColor="text1"/>
          <w14:textFill>
            <w14:solidFill>
              <w14:schemeClr w14:val="tx1"/>
            </w14:solidFill>
          </w14:textFill>
        </w:rPr>
      </w:pPr>
      <w:bookmarkStart w:id="19" w:name="_Toc15396602"/>
      <w:bookmarkStart w:id="20" w:name="_Toc15377204"/>
      <w:bookmarkStart w:id="21" w:name="_Toc225"/>
      <w:r>
        <w:rPr>
          <w:rFonts w:hint="eastAsia" w:eastAsia="方正小标宋简体" w:cs="方正小标宋简体"/>
          <w:b w:val="0"/>
          <w:color w:val="000000" w:themeColor="text1"/>
          <w14:textFill>
            <w14:solidFill>
              <w14:schemeClr w14:val="tx1"/>
            </w14:solidFill>
          </w14:textFill>
        </w:rPr>
        <w:t>第二部分  2025年度</w:t>
      </w:r>
      <w:r>
        <w:rPr>
          <w:rFonts w:hint="eastAsia" w:eastAsia="方正小标宋简体" w:cs="方正小标宋简体"/>
          <w:b w:val="0"/>
          <w:color w:val="000000" w:themeColor="text1"/>
          <w:lang w:val="en-US" w:eastAsia="zh-CN"/>
          <w14:textFill>
            <w14:solidFill>
              <w14:schemeClr w14:val="tx1"/>
            </w14:solidFill>
          </w14:textFill>
        </w:rPr>
        <w:t>单位</w:t>
      </w:r>
      <w:r>
        <w:rPr>
          <w:rFonts w:hint="eastAsia" w:eastAsia="方正小标宋简体" w:cs="方正小标宋简体"/>
          <w:b w:val="0"/>
          <w:color w:val="000000" w:themeColor="text1"/>
          <w14:textFill>
            <w14:solidFill>
              <w14:schemeClr w14:val="tx1"/>
            </w14:solidFill>
          </w14:textFill>
        </w:rPr>
        <w:t>决算情况说明</w:t>
      </w:r>
      <w:bookmarkEnd w:id="19"/>
      <w:bookmarkEnd w:id="20"/>
      <w:bookmarkEnd w:id="21"/>
    </w:p>
    <w:p w14:paraId="5DBE8E85">
      <w:pPr>
        <w:rPr>
          <w:color w:val="000000" w:themeColor="text1"/>
          <w14:textFill>
            <w14:solidFill>
              <w14:schemeClr w14:val="tx1"/>
            </w14:solidFill>
          </w14:textFill>
        </w:rPr>
      </w:pPr>
    </w:p>
    <w:p w14:paraId="1F5297FB">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Style w:val="30"/>
          <w:rFonts w:hint="eastAsia" w:ascii="黑体" w:hAnsi="黑体" w:eastAsia="黑体" w:cs="黑体"/>
          <w:b w:val="0"/>
          <w:color w:val="000000" w:themeColor="text1"/>
          <w14:textFill>
            <w14:solidFill>
              <w14:schemeClr w14:val="tx1"/>
            </w14:solidFill>
          </w14:textFill>
        </w:rPr>
      </w:pPr>
      <w:bookmarkStart w:id="22" w:name="_Toc15396603"/>
      <w:bookmarkStart w:id="23" w:name="_Toc25483"/>
      <w:bookmarkStart w:id="24" w:name="_Toc15377205"/>
      <w:r>
        <w:rPr>
          <w:rFonts w:hint="eastAsia" w:ascii="黑体" w:hAnsi="黑体" w:eastAsia="黑体" w:cs="黑体"/>
          <w:color w:val="000000" w:themeColor="text1"/>
          <w:sz w:val="32"/>
          <w:szCs w:val="32"/>
          <w14:textFill>
            <w14:solidFill>
              <w14:schemeClr w14:val="tx1"/>
            </w14:solidFill>
          </w14:textFill>
        </w:rPr>
        <w:t>一、收</w:t>
      </w:r>
      <w:r>
        <w:rPr>
          <w:rStyle w:val="30"/>
          <w:rFonts w:hint="eastAsia" w:ascii="黑体" w:hAnsi="黑体" w:eastAsia="黑体" w:cs="黑体"/>
          <w:b w:val="0"/>
          <w:color w:val="000000" w:themeColor="text1"/>
          <w14:textFill>
            <w14:solidFill>
              <w14:schemeClr w14:val="tx1"/>
            </w14:solidFill>
          </w14:textFill>
        </w:rPr>
        <w:t>入支出决算总体情况说明</w:t>
      </w:r>
      <w:bookmarkEnd w:id="22"/>
      <w:bookmarkEnd w:id="23"/>
      <w:bookmarkEnd w:id="24"/>
    </w:p>
    <w:p w14:paraId="221DD6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2025年度收入26,175.22万元，与2024年度收入7,582.75万元相比，增加18,592.47万元，增长245.2%。</w:t>
      </w:r>
    </w:p>
    <w:p w14:paraId="30F62A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2025年度支出总计为26,175.22万元，与2024年度支出7,582.75万元相比，增加18,592.47万元，增长245.2%。主要变动原因是2025年其他收入-成昆铁路扩能改造米攀段征地拆迁经费增加，导致部门收入较上年增长；因支付成昆铁路扩能改造米攀段征地拆迁经费，导致部门支出较上年增加。</w:t>
      </w:r>
    </w:p>
    <w:p w14:paraId="41EA2CC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（图1：收入、支出决算总计变动情况图）</w:t>
      </w:r>
    </w:p>
    <w:p w14:paraId="2B2B64CC">
      <w:pPr>
        <w:rPr>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114300" distR="114300">
            <wp:extent cx="5270500" cy="3253740"/>
            <wp:effectExtent l="0" t="0" r="6350" b="3810"/>
            <wp:docPr id="13" name="图片 13" descr="图1：收入支出决算总计变动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1：收入支出决算总计变动图"/>
                    <pic:cNvPicPr>
                      <a:picLocks noChangeAspect="1"/>
                    </pic:cNvPicPr>
                  </pic:nvPicPr>
                  <pic:blipFill>
                    <a:blip r:embed="rId7"/>
                    <a:stretch>
                      <a:fillRect/>
                    </a:stretch>
                  </pic:blipFill>
                  <pic:spPr>
                    <a:xfrm>
                      <a:off x="0" y="0"/>
                      <a:ext cx="5270500" cy="3253740"/>
                    </a:xfrm>
                    <a:prstGeom prst="rect">
                      <a:avLst/>
                    </a:prstGeom>
                  </pic:spPr>
                </pic:pic>
              </a:graphicData>
            </a:graphic>
          </wp:inline>
        </w:drawing>
      </w:r>
    </w:p>
    <w:p w14:paraId="64A05282">
      <w:pPr>
        <w:pStyle w:val="28"/>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Fonts w:eastAsia="黑体"/>
          <w:color w:val="000000" w:themeColor="text1"/>
          <w:sz w:val="32"/>
          <w:szCs w:val="32"/>
          <w14:textFill>
            <w14:solidFill>
              <w14:schemeClr w14:val="tx1"/>
            </w14:solidFill>
          </w14:textFill>
        </w:rPr>
      </w:pPr>
      <w:bookmarkStart w:id="25" w:name="_Toc15396604"/>
      <w:bookmarkStart w:id="26" w:name="_Toc24439"/>
      <w:bookmarkStart w:id="27" w:name="_Toc15377206"/>
      <w:r>
        <w:rPr>
          <w:rFonts w:hint="eastAsia" w:eastAsia="黑体"/>
          <w:color w:val="000000" w:themeColor="text1"/>
          <w:sz w:val="32"/>
          <w:szCs w:val="32"/>
          <w14:textFill>
            <w14:solidFill>
              <w14:schemeClr w14:val="tx1"/>
            </w14:solidFill>
          </w14:textFill>
        </w:rPr>
        <w:t>二、收入决算情况说明</w:t>
      </w:r>
      <w:bookmarkEnd w:id="25"/>
      <w:bookmarkEnd w:id="26"/>
      <w:bookmarkEnd w:id="27"/>
    </w:p>
    <w:p w14:paraId="525D236F">
      <w:pPr>
        <w:pStyle w:val="3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kern w:val="2"/>
          <w:sz w:val="32"/>
          <w:szCs w:val="32"/>
          <w:lang w:val="en-US"/>
          <w14:textFill>
            <w14:solidFill>
              <w14:schemeClr w14:val="tx1"/>
            </w14:solidFill>
          </w14:textFill>
        </w:rPr>
      </w:pPr>
      <w:r>
        <w:rPr>
          <w:rFonts w:hint="eastAsia" w:ascii="Times New Roman" w:hAnsi="Times New Roman" w:eastAsia="仿宋_GB2312" w:cs="仿宋_GB2312"/>
          <w:color w:val="000000" w:themeColor="text1"/>
          <w:kern w:val="2"/>
          <w:sz w:val="32"/>
          <w:szCs w:val="32"/>
          <w:lang w:val="en-US"/>
          <w14:textFill>
            <w14:solidFill>
              <w14:schemeClr w14:val="tx1"/>
            </w14:solidFill>
          </w14:textFill>
        </w:rPr>
        <w:t>2025年度本年收入合计25,844.28万元，其中：一般公共预算财政拨款收入3,422.91万元，占13.2%；政府性基金预算财政拨款收入219.06万元，占0.9%；国有资本经营预算财政拨款收入0万元，占0%；上级补助收入0万元，占0%；事业收入0万元，占0%；经营收入0万元，占0%；附属单位上缴收入0万元，占0%；其他收入22,202.31万元，占85.9%。</w:t>
      </w:r>
    </w:p>
    <w:p w14:paraId="32DC8A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（图2：收入决算结构图）</w:t>
      </w:r>
    </w:p>
    <w:p w14:paraId="5BF719EC">
      <w:pP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drawing>
          <wp:inline distT="0" distB="0" distL="114300" distR="114300">
            <wp:extent cx="5270500" cy="3253740"/>
            <wp:effectExtent l="0" t="0" r="6350" b="3810"/>
            <wp:docPr id="2" name="图片 2" descr="图2：收入决算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2：收入决算结构图"/>
                    <pic:cNvPicPr>
                      <a:picLocks noChangeAspect="1"/>
                    </pic:cNvPicPr>
                  </pic:nvPicPr>
                  <pic:blipFill>
                    <a:blip r:embed="rId8"/>
                    <a:stretch>
                      <a:fillRect/>
                    </a:stretch>
                  </pic:blipFill>
                  <pic:spPr>
                    <a:xfrm>
                      <a:off x="0" y="0"/>
                      <a:ext cx="5270500" cy="3253740"/>
                    </a:xfrm>
                    <a:prstGeom prst="rect">
                      <a:avLst/>
                    </a:prstGeom>
                  </pic:spPr>
                </pic:pic>
              </a:graphicData>
            </a:graphic>
          </wp:inline>
        </w:drawing>
      </w:r>
    </w:p>
    <w:p w14:paraId="3890B495">
      <w:pPr>
        <w:pStyle w:val="28"/>
        <w:spacing w:line="600" w:lineRule="exact"/>
        <w:ind w:firstLine="640"/>
        <w:outlineLvl w:val="1"/>
        <w:rPr>
          <w:rStyle w:val="30"/>
          <w:rFonts w:ascii="Times New Roman" w:hAnsi="Times New Roman" w:eastAsia="黑体"/>
          <w:b w:val="0"/>
          <w:color w:val="000000" w:themeColor="text1"/>
          <w14:textFill>
            <w14:solidFill>
              <w14:schemeClr w14:val="tx1"/>
            </w14:solidFill>
          </w14:textFill>
        </w:rPr>
      </w:pPr>
      <w:bookmarkStart w:id="28" w:name="_Toc15396605"/>
      <w:bookmarkStart w:id="29" w:name="_Toc29607"/>
      <w:bookmarkStart w:id="30" w:name="_Toc15377207"/>
      <w:r>
        <w:rPr>
          <w:rFonts w:hint="eastAsia" w:eastAsia="黑体"/>
          <w:color w:val="000000" w:themeColor="text1"/>
          <w:sz w:val="32"/>
          <w:szCs w:val="32"/>
          <w14:textFill>
            <w14:solidFill>
              <w14:schemeClr w14:val="tx1"/>
            </w14:solidFill>
          </w14:textFill>
        </w:rPr>
        <w:t>三、支</w:t>
      </w:r>
      <w:r>
        <w:rPr>
          <w:rStyle w:val="30"/>
          <w:rFonts w:hint="eastAsia" w:ascii="Times New Roman" w:hAnsi="Times New Roman" w:eastAsia="黑体"/>
          <w:b w:val="0"/>
          <w:color w:val="000000" w:themeColor="text1"/>
          <w14:textFill>
            <w14:solidFill>
              <w14:schemeClr w14:val="tx1"/>
            </w14:solidFill>
          </w14:textFill>
        </w:rPr>
        <w:t>出决算情况说明</w:t>
      </w:r>
      <w:bookmarkEnd w:id="28"/>
      <w:bookmarkEnd w:id="29"/>
      <w:bookmarkEnd w:id="30"/>
    </w:p>
    <w:p w14:paraId="1159B79B">
      <w:pPr>
        <w:ind w:firstLine="640" w:firstLineChars="200"/>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t>2025年度本年支出合计19,284.19万元，其中：基本支出2,939.88万元，占15.3%；项目支出16,344.31万元，占84.7%；上缴上级支出0万元，占0%；经营支出0万元，占0%；对附属单位补助支出0万元，占0%。</w:t>
      </w:r>
    </w:p>
    <w:p w14:paraId="13CD144F">
      <w:pPr>
        <w:jc w:val="cente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t>（图3：支出决算结构图）</w:t>
      </w:r>
    </w:p>
    <w:p w14:paraId="46AC525A">
      <w:pP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drawing>
          <wp:inline distT="0" distB="0" distL="114300" distR="114300">
            <wp:extent cx="4899025" cy="2997200"/>
            <wp:effectExtent l="0" t="0" r="15875" b="12700"/>
            <wp:docPr id="3" name="图片 3" descr="图3：支出决算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3：支出决算结构图"/>
                    <pic:cNvPicPr>
                      <a:picLocks noChangeAspect="1"/>
                    </pic:cNvPicPr>
                  </pic:nvPicPr>
                  <pic:blipFill>
                    <a:blip r:embed="rId9"/>
                    <a:stretch>
                      <a:fillRect/>
                    </a:stretch>
                  </pic:blipFill>
                  <pic:spPr>
                    <a:xfrm>
                      <a:off x="0" y="0"/>
                      <a:ext cx="4899025" cy="2997200"/>
                    </a:xfrm>
                    <a:prstGeom prst="rect">
                      <a:avLst/>
                    </a:prstGeom>
                  </pic:spPr>
                </pic:pic>
              </a:graphicData>
            </a:graphic>
          </wp:inline>
        </w:drawing>
      </w:r>
    </w:p>
    <w:p w14:paraId="66F84B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30"/>
          <w:rFonts w:ascii="Times New Roman" w:hAnsi="Times New Roman" w:eastAsia="黑体"/>
          <w:b w:val="0"/>
          <w:color w:val="000000" w:themeColor="text1"/>
          <w14:textFill>
            <w14:solidFill>
              <w14:schemeClr w14:val="tx1"/>
            </w14:solidFill>
          </w14:textFill>
        </w:rPr>
      </w:pPr>
      <w:bookmarkStart w:id="31" w:name="_Toc15396606"/>
      <w:bookmarkStart w:id="32" w:name="_Toc1065"/>
      <w:bookmarkStart w:id="33" w:name="_Toc15377208"/>
      <w:r>
        <w:rPr>
          <w:rFonts w:hint="eastAsia" w:eastAsia="黑体"/>
          <w:color w:val="000000" w:themeColor="text1"/>
          <w:sz w:val="32"/>
          <w:szCs w:val="32"/>
          <w14:textFill>
            <w14:solidFill>
              <w14:schemeClr w14:val="tx1"/>
            </w14:solidFill>
          </w14:textFill>
        </w:rPr>
        <w:t>四、财</w:t>
      </w:r>
      <w:r>
        <w:rPr>
          <w:rStyle w:val="30"/>
          <w:rFonts w:hint="eastAsia" w:ascii="Times New Roman" w:hAnsi="Times New Roman" w:eastAsia="黑体"/>
          <w:b w:val="0"/>
          <w:color w:val="000000" w:themeColor="text1"/>
          <w14:textFill>
            <w14:solidFill>
              <w14:schemeClr w14:val="tx1"/>
            </w14:solidFill>
          </w14:textFill>
        </w:rPr>
        <w:t>政拨款收入支出决算总体情况说明</w:t>
      </w:r>
      <w:bookmarkEnd w:id="31"/>
      <w:bookmarkEnd w:id="32"/>
      <w:bookmarkEnd w:id="33"/>
    </w:p>
    <w:p w14:paraId="5DB4DA7D">
      <w:pPr>
        <w:ind w:firstLine="640" w:firstLineChars="200"/>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t>2025年度财政拨款收入、支出总计均为3,641.97万元。与2024年度3,172.65万元相比，财政拨款收入总计、支出总计各增加469.32万元，增长14.8%。主要变动原因是攀枝花市大数据中心人员编制划入，经费支出增加。</w:t>
      </w:r>
    </w:p>
    <w:p w14:paraId="41422A5C">
      <w:pPr>
        <w:ind w:left="0" w:leftChars="0" w:firstLine="0" w:firstLineChars="0"/>
        <w:jc w:val="cente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t>（图4：财政拨款收、支决算总计变动情况）</w:t>
      </w:r>
    </w:p>
    <w:p w14:paraId="1E1F6E56">
      <w:pP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drawing>
          <wp:inline distT="0" distB="0" distL="114300" distR="114300">
            <wp:extent cx="5090160" cy="2987675"/>
            <wp:effectExtent l="0" t="0" r="15240" b="3175"/>
            <wp:docPr id="4" name="图片 4" descr="图4：财政拨款收支决算变动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4：财政拨款收支决算变动图"/>
                    <pic:cNvPicPr>
                      <a:picLocks noChangeAspect="1"/>
                    </pic:cNvPicPr>
                  </pic:nvPicPr>
                  <pic:blipFill>
                    <a:blip r:embed="rId10"/>
                    <a:stretch>
                      <a:fillRect/>
                    </a:stretch>
                  </pic:blipFill>
                  <pic:spPr>
                    <a:xfrm>
                      <a:off x="0" y="0"/>
                      <a:ext cx="5090160" cy="2987675"/>
                    </a:xfrm>
                    <a:prstGeom prst="rect">
                      <a:avLst/>
                    </a:prstGeom>
                  </pic:spPr>
                </pic:pic>
              </a:graphicData>
            </a:graphic>
          </wp:inline>
        </w:drawing>
      </w:r>
    </w:p>
    <w:p w14:paraId="175C313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1"/>
        <w:rPr>
          <w:rStyle w:val="30"/>
          <w:rFonts w:hint="eastAsia" w:ascii="黑体" w:hAnsi="黑体" w:eastAsia="黑体" w:cs="黑体"/>
          <w:b w:val="0"/>
          <w:color w:val="000000" w:themeColor="text1"/>
          <w:sz w:val="32"/>
          <w14:textFill>
            <w14:solidFill>
              <w14:schemeClr w14:val="tx1"/>
            </w14:solidFill>
          </w14:textFill>
        </w:rPr>
      </w:pPr>
      <w:bookmarkStart w:id="34" w:name="_Toc15377209"/>
      <w:bookmarkStart w:id="35" w:name="_Toc15396607"/>
      <w:bookmarkStart w:id="36" w:name="_Toc31900"/>
      <w:r>
        <w:rPr>
          <w:rFonts w:hint="eastAsia" w:ascii="黑体" w:hAnsi="黑体" w:eastAsia="黑体" w:cs="黑体"/>
          <w:color w:val="000000" w:themeColor="text1"/>
          <w:sz w:val="32"/>
          <w:szCs w:val="32"/>
          <w14:textFill>
            <w14:solidFill>
              <w14:schemeClr w14:val="tx1"/>
            </w14:solidFill>
          </w14:textFill>
        </w:rPr>
        <w:t>五、</w:t>
      </w:r>
      <w:r>
        <w:rPr>
          <w:rFonts w:hint="eastAsia" w:ascii="黑体" w:hAnsi="黑体" w:eastAsia="黑体" w:cs="黑体"/>
          <w:b/>
          <w:color w:val="000000" w:themeColor="text1"/>
          <w:sz w:val="32"/>
          <w:szCs w:val="32"/>
          <w14:textFill>
            <w14:solidFill>
              <w14:schemeClr w14:val="tx1"/>
            </w14:solidFill>
          </w14:textFill>
        </w:rPr>
        <w:t>一</w:t>
      </w:r>
      <w:r>
        <w:rPr>
          <w:rStyle w:val="30"/>
          <w:rFonts w:hint="eastAsia" w:ascii="黑体" w:hAnsi="黑体" w:eastAsia="黑体" w:cs="黑体"/>
          <w:b w:val="0"/>
          <w:color w:val="000000" w:themeColor="text1"/>
          <w:sz w:val="32"/>
          <w14:textFill>
            <w14:solidFill>
              <w14:schemeClr w14:val="tx1"/>
            </w14:solidFill>
          </w14:textFill>
        </w:rPr>
        <w:t>般公共预算财政拨款支出决算情况说明</w:t>
      </w:r>
      <w:bookmarkEnd w:id="34"/>
      <w:bookmarkEnd w:id="35"/>
      <w:bookmarkEnd w:id="36"/>
    </w:p>
    <w:p w14:paraId="28B2FD5E">
      <w:pPr>
        <w:spacing w:line="600" w:lineRule="exact"/>
        <w:ind w:firstLine="643" w:firstLineChars="200"/>
        <w:outlineLvl w:val="2"/>
        <w:rPr>
          <w:rFonts w:hint="eastAsia" w:eastAsia="楷体_GB2312" w:cs="楷体_GB2312"/>
          <w:b/>
          <w:color w:val="000000" w:themeColor="text1"/>
          <w:sz w:val="32"/>
          <w:szCs w:val="32"/>
          <w14:textFill>
            <w14:solidFill>
              <w14:schemeClr w14:val="tx1"/>
            </w14:solidFill>
          </w14:textFill>
        </w:rPr>
      </w:pPr>
      <w:bookmarkStart w:id="37" w:name="_Toc15377210"/>
      <w:r>
        <w:rPr>
          <w:rFonts w:hint="eastAsia" w:eastAsia="楷体_GB2312" w:cs="楷体_GB2312"/>
          <w:b/>
          <w:color w:val="000000" w:themeColor="text1"/>
          <w:sz w:val="32"/>
          <w:szCs w:val="32"/>
          <w14:textFill>
            <w14:solidFill>
              <w14:schemeClr w14:val="tx1"/>
            </w14:solidFill>
          </w14:textFill>
        </w:rPr>
        <w:t>（一）一般公共预算财政拨款支出决算总体情况</w:t>
      </w:r>
      <w:bookmarkEnd w:id="37"/>
    </w:p>
    <w:p w14:paraId="7088BB66">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一般公共预算财政拨款支出3,422.91万元，占本年支出合计19,284.19万元的17.7%。与2024年度3,132.2万元相比，一般公共预算财政拨款支出增加290.71万元，增长9.3%。主要变动原因是基本支出较上年增加366.77万元，项目支出较上年减少76.06万元。</w:t>
      </w:r>
    </w:p>
    <w:p w14:paraId="47F47D4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（图5：一般公共预算财政拨款支出决算变动情况）</w:t>
      </w:r>
    </w:p>
    <w:p w14:paraId="25DB5A58">
      <w:pPr>
        <w:jc w:val="cente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drawing>
          <wp:inline distT="0" distB="0" distL="114300" distR="114300">
            <wp:extent cx="5270500" cy="3253740"/>
            <wp:effectExtent l="0" t="0" r="6350" b="3810"/>
            <wp:docPr id="5" name="图片 5" descr="图5：一般公共预算财政拨款支出决算变动情况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5：一般公共预算财政拨款支出决算变动情况图"/>
                    <pic:cNvPicPr>
                      <a:picLocks noChangeAspect="1"/>
                    </pic:cNvPicPr>
                  </pic:nvPicPr>
                  <pic:blipFill>
                    <a:blip r:embed="rId11"/>
                    <a:stretch>
                      <a:fillRect/>
                    </a:stretch>
                  </pic:blipFill>
                  <pic:spPr>
                    <a:xfrm>
                      <a:off x="0" y="0"/>
                      <a:ext cx="5270500" cy="3253740"/>
                    </a:xfrm>
                    <a:prstGeom prst="rect">
                      <a:avLst/>
                    </a:prstGeom>
                  </pic:spPr>
                </pic:pic>
              </a:graphicData>
            </a:graphic>
          </wp:inline>
        </w:drawing>
      </w:r>
    </w:p>
    <w:p w14:paraId="0E518EE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eastAsia="楷体_GB2312" w:cs="楷体_GB2312"/>
          <w:b/>
          <w:color w:val="000000" w:themeColor="text1"/>
          <w:sz w:val="32"/>
          <w:szCs w:val="32"/>
          <w14:textFill>
            <w14:solidFill>
              <w14:schemeClr w14:val="tx1"/>
            </w14:solidFill>
          </w14:textFill>
        </w:rPr>
      </w:pPr>
      <w:bookmarkStart w:id="38" w:name="_Toc15377211"/>
      <w:r>
        <w:rPr>
          <w:rFonts w:hint="eastAsia" w:eastAsia="楷体_GB2312" w:cs="楷体_GB2312"/>
          <w:b/>
          <w:color w:val="000000" w:themeColor="text1"/>
          <w:sz w:val="32"/>
          <w:szCs w:val="32"/>
          <w14:textFill>
            <w14:solidFill>
              <w14:schemeClr w14:val="tx1"/>
            </w14:solidFill>
          </w14:textFill>
        </w:rPr>
        <w:t>（二）一般公共预算财政拨款支出决算结构情况</w:t>
      </w:r>
      <w:bookmarkEnd w:id="38"/>
    </w:p>
    <w:p w14:paraId="451E73DC">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2025年度一般公共预算财政拨款支出3,422.91万元，主要用于以下方面：一般公共服务支出2,419.33万元，占70.7%；社会保障和就业支出673.73万元，占19.7%；卫生健康支出146.78万元，占4.3%；住房保障支出183.07万元，占5.3%。 </w:t>
      </w:r>
    </w:p>
    <w:p w14:paraId="32C2AEEF">
      <w:pPr>
        <w:spacing w:line="600" w:lineRule="exact"/>
        <w:ind w:firstLine="640"/>
        <w:jc w:val="center"/>
        <w:rPr>
          <w:rFonts w:eastAsia="仿宋_GB2312" w:cs="仿宋_GB2312"/>
          <w:color w:val="000000" w:themeColor="text1"/>
          <w:sz w:val="32"/>
          <w:szCs w:val="32"/>
          <w14:textFill>
            <w14:solidFill>
              <w14:schemeClr w14:val="tx1"/>
            </w14:solidFill>
          </w14:textFill>
        </w:rPr>
      </w:pPr>
    </w:p>
    <w:p w14:paraId="1AE1DF4B">
      <w:pPr>
        <w:spacing w:line="600" w:lineRule="exact"/>
        <w:jc w:val="cente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t>（图6：一般公共预算财政拨款支出决算结构）</w:t>
      </w:r>
    </w:p>
    <w:p w14:paraId="0F2F69DB">
      <w:pPr>
        <w:outlineLvl w:val="2"/>
        <w:rPr>
          <w:rFonts w:eastAsia="楷体_GB2312" w:cs="楷体_GB2312"/>
          <w:b/>
          <w:color w:val="000000" w:themeColor="text1"/>
          <w:sz w:val="32"/>
          <w:szCs w:val="32"/>
          <w14:textFill>
            <w14:solidFill>
              <w14:schemeClr w14:val="tx1"/>
            </w14:solidFill>
          </w14:textFill>
        </w:rPr>
      </w:pPr>
      <w:bookmarkStart w:id="39" w:name="_Toc15377212"/>
      <w:r>
        <w:rPr>
          <w:rFonts w:hint="eastAsia" w:eastAsia="楷体_GB2312" w:cs="楷体_GB2312"/>
          <w:b/>
          <w:color w:val="000000" w:themeColor="text1"/>
          <w:sz w:val="32"/>
          <w:szCs w:val="32"/>
          <w14:textFill>
            <w14:solidFill>
              <w14:schemeClr w14:val="tx1"/>
            </w14:solidFill>
          </w14:textFill>
        </w:rPr>
        <w:drawing>
          <wp:inline distT="0" distB="0" distL="114300" distR="114300">
            <wp:extent cx="5270500" cy="3253740"/>
            <wp:effectExtent l="0" t="0" r="6350" b="3810"/>
            <wp:docPr id="7" name="图片 7" descr="图6：一般公共预算财政拨款支出决算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6：一般公共预算财政拨款支出决算结构图"/>
                    <pic:cNvPicPr>
                      <a:picLocks noChangeAspect="1"/>
                    </pic:cNvPicPr>
                  </pic:nvPicPr>
                  <pic:blipFill>
                    <a:blip r:embed="rId12"/>
                    <a:stretch>
                      <a:fillRect/>
                    </a:stretch>
                  </pic:blipFill>
                  <pic:spPr>
                    <a:xfrm>
                      <a:off x="0" y="0"/>
                      <a:ext cx="5270500" cy="3253740"/>
                    </a:xfrm>
                    <a:prstGeom prst="rect">
                      <a:avLst/>
                    </a:prstGeom>
                  </pic:spPr>
                </pic:pic>
              </a:graphicData>
            </a:graphic>
          </wp:inline>
        </w:drawing>
      </w:r>
    </w:p>
    <w:p w14:paraId="38E7FB0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r>
        <w:rPr>
          <w:rFonts w:hint="eastAsia" w:eastAsia="楷体_GB2312" w:cs="楷体_GB2312"/>
          <w:b/>
          <w:color w:val="000000" w:themeColor="text1"/>
          <w:sz w:val="32"/>
          <w:szCs w:val="32"/>
          <w14:textFill>
            <w14:solidFill>
              <w14:schemeClr w14:val="tx1"/>
            </w14:solidFill>
          </w14:textFill>
        </w:rPr>
        <w:t>（三）一般公共预算财政拨款支出决算具体情况</w:t>
      </w:r>
      <w:bookmarkEnd w:id="39"/>
    </w:p>
    <w:p w14:paraId="5912936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bookmarkStart w:id="40" w:name="_Toc15377213"/>
      <w:bookmarkStart w:id="41" w:name="_Toc15377444"/>
      <w:bookmarkStart w:id="42" w:name="_Toc15378460"/>
      <w:r>
        <w:rPr>
          <w:rFonts w:hint="eastAsia" w:ascii="Times New Roman" w:hAnsi="Times New Roman" w:eastAsia="仿宋_GB2312" w:cs="仿宋_GB2312"/>
          <w:color w:val="000000" w:themeColor="text1"/>
          <w:sz w:val="32"/>
          <w:szCs w:val="32"/>
          <w14:textFill>
            <w14:solidFill>
              <w14:schemeClr w14:val="tx1"/>
            </w14:solidFill>
          </w14:textFill>
        </w:rPr>
        <w:t>2025年度一般公共预算支出决算数为3,422.91万元，完成预算100%。其中：</w:t>
      </w:r>
      <w:bookmarkEnd w:id="40"/>
      <w:bookmarkEnd w:id="41"/>
      <w:bookmarkEnd w:id="42"/>
    </w:p>
    <w:p w14:paraId="039692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一般公共服务（类）发展与改革事务（款）：行政运行（项）支出决算为1,437.71万元，完成预算100%；一般行政管理事务（项）支出决算为44.42万元，完成预算100%；事业运行（项）支出决算为504.65万元，完成预算100%；其他发展与改革事务支出（项）支出决算为416.98万元，完成预算100%。</w:t>
      </w:r>
    </w:p>
    <w:p w14:paraId="6B4965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2.一般公共服务（类）纪检监察事务（款）派驻派出机构（项）：支出决算为2.71万元，完成预算100%。</w:t>
      </w:r>
    </w:p>
    <w:p w14:paraId="651C49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3.一般公共服务（类）商贸事务（款）招商引资（项）：支出决算为8万元，完成预算100%。</w:t>
      </w:r>
    </w:p>
    <w:p w14:paraId="754DE0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4.一般公共服务（类）组织事务（款）其他组织事务支出（项）：支出决算为4.86万元，完成预算100%。</w:t>
      </w:r>
    </w:p>
    <w:p w14:paraId="25EA51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5.社会保障和就业（类）人力资源和社会保障管理事务（款）其他人力资源和社会保障管理事务支出（项）：支出决算为14.4万元，完成预算100%。</w:t>
      </w:r>
    </w:p>
    <w:p w14:paraId="7D21DD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6.社会保障和就业（类）行政事业单位养老支出（款）：行政单位离退休（项）支出决算为326.27万元，完成预算100%；事业单位离退休（项）支出决算为5.5万元，完成预算100%；机关事业单位基本养老保险缴费支出（项）支出决算为223.28万元，完成预算100%；机关事业单位职业年金缴费支出（项）支出决算为54.94万元，完成预算100%。</w:t>
      </w:r>
    </w:p>
    <w:p w14:paraId="5A071F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7.社会保障和就业（类）抚恤（款）死亡抚恤（项）：支出决算为48.74万元，完成预算100%。</w:t>
      </w:r>
    </w:p>
    <w:p w14:paraId="313C48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8.社会保障和就业（类）社会福利（款）儿童福利（项）：支出决算为0.6万元，完成预算100%。</w:t>
      </w:r>
    </w:p>
    <w:p w14:paraId="4C66D3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9.卫生健康（类）行政事业单位医疗（款）：行政单位医疗（项）支出决算为87.7万元，完成预算100%；事业单位医疗（项）支出决算为31.12万元，完成预算100%；公务员医疗补助（项）支出决算为16.92万元，完成预算100%；其他行政事业单位医疗支出（项）支出决算为10.87万元，完成预算100%。</w:t>
      </w:r>
    </w:p>
    <w:p w14:paraId="65A9FF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10.卫生健康（类）其他卫生健康支出（款）其他卫生健康支出（项）：支出决算为0.17万元，完成预算100%。</w:t>
      </w:r>
    </w:p>
    <w:p w14:paraId="68C4B4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11.住房保障（类）住房改革支出（款）住房公积金（项）：支出决算为183.07万元，完成预算100%。</w:t>
      </w:r>
    </w:p>
    <w:p w14:paraId="3043AFFB">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textAlignment w:val="auto"/>
        <w:outlineLvl w:val="1"/>
        <w:rPr>
          <w:rStyle w:val="30"/>
          <w:rFonts w:hint="eastAsia" w:ascii="Times New Roman" w:hAnsi="Times New Roman" w:eastAsia="仿宋_GB2312" w:cs="仿宋_GB2312"/>
          <w:color w:val="000000" w:themeColor="text1"/>
          <w:sz w:val="32"/>
          <w14:textFill>
            <w14:solidFill>
              <w14:schemeClr w14:val="tx1"/>
            </w14:solidFill>
          </w14:textFill>
        </w:rPr>
      </w:pPr>
      <w:bookmarkStart w:id="43" w:name="_Toc15396608"/>
      <w:bookmarkStart w:id="44" w:name="_Toc8652"/>
      <w:bookmarkStart w:id="45" w:name="_Toc15377214"/>
      <w:r>
        <w:rPr>
          <w:rFonts w:hint="eastAsia" w:ascii="黑体" w:hAnsi="黑体" w:eastAsia="黑体" w:cs="黑体"/>
          <w:color w:val="000000" w:themeColor="text1"/>
          <w:sz w:val="32"/>
          <w:szCs w:val="32"/>
          <w14:textFill>
            <w14:solidFill>
              <w14:schemeClr w14:val="tx1"/>
            </w14:solidFill>
          </w14:textFill>
        </w:rPr>
        <w:t>六</w:t>
      </w:r>
      <w:r>
        <w:rPr>
          <w:rFonts w:hint="eastAsia" w:ascii="黑体" w:hAnsi="黑体" w:eastAsia="黑体" w:cs="黑体"/>
          <w:b/>
          <w:color w:val="000000" w:themeColor="text1"/>
          <w:sz w:val="32"/>
          <w:szCs w:val="32"/>
          <w14:textFill>
            <w14:solidFill>
              <w14:schemeClr w14:val="tx1"/>
            </w14:solidFill>
          </w14:textFill>
        </w:rPr>
        <w:t>、一</w:t>
      </w:r>
      <w:r>
        <w:rPr>
          <w:rStyle w:val="30"/>
          <w:rFonts w:hint="eastAsia" w:ascii="黑体" w:hAnsi="黑体" w:eastAsia="黑体" w:cs="黑体"/>
          <w:b w:val="0"/>
          <w:color w:val="000000" w:themeColor="text1"/>
          <w:sz w:val="32"/>
          <w14:textFill>
            <w14:solidFill>
              <w14:schemeClr w14:val="tx1"/>
            </w14:solidFill>
          </w14:textFill>
        </w:rPr>
        <w:t>般公共预算财政拨款基本支出决算情况说明</w:t>
      </w:r>
      <w:bookmarkEnd w:id="43"/>
      <w:bookmarkEnd w:id="44"/>
      <w:bookmarkEnd w:id="45"/>
      <w:r>
        <w:rPr>
          <w:rStyle w:val="30"/>
          <w:rFonts w:hint="eastAsia" w:ascii="黑体" w:hAnsi="黑体" w:eastAsia="黑体" w:cs="黑体"/>
          <w:b w:val="0"/>
          <w:color w:val="000000" w:themeColor="text1"/>
          <w:sz w:val="32"/>
          <w14:textFill>
            <w14:solidFill>
              <w14:schemeClr w14:val="tx1"/>
            </w14:solidFill>
          </w14:textFill>
        </w:rPr>
        <w:tab/>
      </w:r>
    </w:p>
    <w:p w14:paraId="00B209A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2025年度一般公共预算财政拨款基本支出2,939.88万元，其中：</w:t>
      </w:r>
    </w:p>
    <w:p w14:paraId="770CC6F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人员经费2,663.48万元，主要包括：基本工资、津贴补贴、奖金、绩效工资、机关事业单位基本养老保险缴费、职业年金缴费、职工基本医疗保险缴费、公务员医疗补助缴费、其他社会保障缴费、住房公积金、其他工资福利支出、抚恤金、生活补助、医疗费补助、奖励金、其他对个人和家庭的补助支出等。</w:t>
      </w:r>
    </w:p>
    <w:p w14:paraId="23C5A09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公用经费276.4万元，主要包括：办公费、水费、电费、邮电费、物业管理费、差旅费、租赁费、会议费、培训费、公务接待费、工会经费、福利费、公务用车运行维护费、其他交通费用、其他商品和服务支出等。</w:t>
      </w:r>
    </w:p>
    <w:p w14:paraId="47B9BFD5">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1"/>
        <w:rPr>
          <w:rStyle w:val="30"/>
          <w:rFonts w:hint="eastAsia" w:ascii="黑体" w:hAnsi="黑体" w:eastAsia="黑体" w:cs="黑体"/>
          <w:b w:val="0"/>
          <w:color w:val="000000" w:themeColor="text1"/>
          <w:sz w:val="32"/>
          <w14:textFill>
            <w14:solidFill>
              <w14:schemeClr w14:val="tx1"/>
            </w14:solidFill>
          </w14:textFill>
        </w:rPr>
      </w:pPr>
      <w:bookmarkStart w:id="46" w:name="_Toc15396609"/>
      <w:bookmarkStart w:id="47" w:name="_Toc15377215"/>
      <w:bookmarkStart w:id="48" w:name="_Toc8535"/>
      <w:r>
        <w:rPr>
          <w:rFonts w:hint="eastAsia" w:ascii="黑体" w:hAnsi="黑体" w:eastAsia="黑体" w:cs="黑体"/>
          <w:color w:val="000000" w:themeColor="text1"/>
          <w:sz w:val="32"/>
          <w:szCs w:val="32"/>
          <w14:textFill>
            <w14:solidFill>
              <w14:schemeClr w14:val="tx1"/>
            </w14:solidFill>
          </w14:textFill>
        </w:rPr>
        <w:t>七、</w:t>
      </w:r>
      <w:r>
        <w:rPr>
          <w:rStyle w:val="30"/>
          <w:rFonts w:hint="eastAsia" w:ascii="黑体" w:hAnsi="黑体" w:eastAsia="黑体" w:cs="黑体"/>
          <w:b w:val="0"/>
          <w:color w:val="000000" w:themeColor="text1"/>
          <w:sz w:val="32"/>
          <w14:textFill>
            <w14:solidFill>
              <w14:schemeClr w14:val="tx1"/>
            </w14:solidFill>
          </w14:textFill>
        </w:rPr>
        <w:t>财政拨款</w:t>
      </w:r>
      <w:r>
        <w:rPr>
          <w:rStyle w:val="30"/>
          <w:rFonts w:hint="eastAsia" w:ascii="黑体" w:hAnsi="黑体" w:eastAsia="黑体" w:cs="黑体"/>
          <w:color w:val="000000" w:themeColor="text1"/>
          <w:sz w:val="32"/>
          <w14:textFill>
            <w14:solidFill>
              <w14:schemeClr w14:val="tx1"/>
            </w14:solidFill>
          </w14:textFill>
        </w:rPr>
        <w:t>“</w:t>
      </w:r>
      <w:r>
        <w:rPr>
          <w:rStyle w:val="30"/>
          <w:rFonts w:hint="eastAsia" w:ascii="黑体" w:hAnsi="黑体" w:eastAsia="黑体" w:cs="黑体"/>
          <w:b w:val="0"/>
          <w:color w:val="000000" w:themeColor="text1"/>
          <w:sz w:val="32"/>
          <w14:textFill>
            <w14:solidFill>
              <w14:schemeClr w14:val="tx1"/>
            </w14:solidFill>
          </w14:textFill>
        </w:rPr>
        <w:t>三公”经费支出决算情况说明</w:t>
      </w:r>
      <w:bookmarkEnd w:id="46"/>
      <w:bookmarkEnd w:id="47"/>
      <w:bookmarkEnd w:id="48"/>
    </w:p>
    <w:p w14:paraId="73D1564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bookmarkStart w:id="49" w:name="_Toc15377216"/>
      <w:r>
        <w:rPr>
          <w:rFonts w:hint="eastAsia" w:eastAsia="楷体_GB2312" w:cs="楷体_GB2312"/>
          <w:b/>
          <w:color w:val="000000" w:themeColor="text1"/>
          <w:sz w:val="32"/>
          <w:szCs w:val="32"/>
          <w14:textFill>
            <w14:solidFill>
              <w14:schemeClr w14:val="tx1"/>
            </w14:solidFill>
          </w14:textFill>
        </w:rPr>
        <w:t>（一）财政拨款“三公”经费支出决算总体情况说明</w:t>
      </w:r>
      <w:bookmarkEnd w:id="49"/>
    </w:p>
    <w:p w14:paraId="3E74A3BC">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仿宋_GB2312" w:cs="仿宋_GB2312"/>
          <w:b/>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财政拨款“三公”经费支出决算为9.53万元，完成预算100%，较上年度9.64万元减少0.11万元，下降1.1%。决算数与预算数持平的主要原因是委机关坚持厉行节约的原则，严格落实政府过紧日子要求，有效控制“三公”经费财政拨款支出。</w:t>
      </w:r>
    </w:p>
    <w:p w14:paraId="5DE7B27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bookmarkStart w:id="50" w:name="_Toc15377217"/>
      <w:r>
        <w:rPr>
          <w:rFonts w:hint="eastAsia" w:eastAsia="楷体_GB2312" w:cs="楷体_GB2312"/>
          <w:b/>
          <w:color w:val="000000" w:themeColor="text1"/>
          <w:sz w:val="32"/>
          <w:szCs w:val="32"/>
          <w14:textFill>
            <w14:solidFill>
              <w14:schemeClr w14:val="tx1"/>
            </w14:solidFill>
          </w14:textFill>
        </w:rPr>
        <w:t>（二）财政拨款“三公”经费支出决算具体情况说明</w:t>
      </w:r>
      <w:bookmarkEnd w:id="50"/>
    </w:p>
    <w:p w14:paraId="593FD3B4">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2025年度财政拨款“三公”经费支出决算中，因公出国（境）费支出决算0万元，占0%；公务用车购置及运行维护费支出决算6.61万元，占69.4%；公务接待费支出决算2.92万元，占30.6%。具体情况如下：</w:t>
      </w:r>
    </w:p>
    <w:p w14:paraId="032913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（图7：财政拨款“三公”经费支出结构）</w:t>
      </w:r>
    </w:p>
    <w:p w14:paraId="57B480EF">
      <w:pPr>
        <w:jc w:val="center"/>
        <w:rPr>
          <w:rFonts w:eastAsia="仿宋_GB2312" w:cs="仿宋_GB2312"/>
          <w:color w:val="000000" w:themeColor="text1"/>
          <w:sz w:val="32"/>
          <w:szCs w:val="32"/>
          <w:highlight w:val="yellow"/>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drawing>
          <wp:inline distT="0" distB="0" distL="114300" distR="114300">
            <wp:extent cx="5270500" cy="3234690"/>
            <wp:effectExtent l="0" t="0" r="6350" b="3810"/>
            <wp:docPr id="8" name="图片 8" descr="图7：财政拨款三公经费支出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7：财政拨款三公经费支出结构图"/>
                    <pic:cNvPicPr>
                      <a:picLocks noChangeAspect="1"/>
                    </pic:cNvPicPr>
                  </pic:nvPicPr>
                  <pic:blipFill>
                    <a:blip r:embed="rId13"/>
                    <a:stretch>
                      <a:fillRect/>
                    </a:stretch>
                  </pic:blipFill>
                  <pic:spPr>
                    <a:xfrm>
                      <a:off x="0" y="0"/>
                      <a:ext cx="5270500" cy="3234690"/>
                    </a:xfrm>
                    <a:prstGeom prst="rect">
                      <a:avLst/>
                    </a:prstGeom>
                  </pic:spPr>
                </pic:pic>
              </a:graphicData>
            </a:graphic>
          </wp:inline>
        </w:drawing>
      </w:r>
    </w:p>
    <w:p w14:paraId="538C407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b/>
          <w:bCs/>
          <w:color w:val="000000" w:themeColor="text1"/>
          <w:sz w:val="32"/>
          <w:szCs w:val="32"/>
          <w14:textFill>
            <w14:solidFill>
              <w14:schemeClr w14:val="tx1"/>
            </w14:solidFill>
          </w14:textFill>
        </w:rPr>
        <w:t>1.因公出国（境）经费支出</w:t>
      </w:r>
      <w:r>
        <w:rPr>
          <w:rFonts w:hint="eastAsia" w:ascii="Times New Roman" w:hAnsi="Times New Roman" w:eastAsia="仿宋_GB2312" w:cs="仿宋_GB2312"/>
          <w:color w:val="000000" w:themeColor="text1"/>
          <w:sz w:val="32"/>
          <w:szCs w:val="32"/>
          <w14:textFill>
            <w14:solidFill>
              <w14:schemeClr w14:val="tx1"/>
            </w14:solidFill>
          </w14:textFill>
        </w:rPr>
        <w:t>0</w:t>
      </w:r>
      <w:r>
        <w:rPr>
          <w:rFonts w:hint="eastAsia" w:ascii="Times New Roman" w:hAnsi="Times New Roman" w:eastAsia="仿宋_GB2312" w:cs="仿宋_GB2312"/>
          <w:b/>
          <w:bCs/>
          <w:color w:val="000000" w:themeColor="text1"/>
          <w:sz w:val="32"/>
          <w:szCs w:val="32"/>
          <w14:textFill>
            <w14:solidFill>
              <w14:schemeClr w14:val="tx1"/>
            </w14:solidFill>
          </w14:textFill>
        </w:rPr>
        <w:t>万元。</w:t>
      </w:r>
      <w:r>
        <w:rPr>
          <w:rFonts w:hint="eastAsia" w:ascii="Times New Roman" w:hAnsi="Times New Roman" w:eastAsia="仿宋_GB2312" w:cs="仿宋_GB2312"/>
          <w:color w:val="000000" w:themeColor="text1"/>
          <w:sz w:val="32"/>
          <w:szCs w:val="32"/>
          <w14:textFill>
            <w14:solidFill>
              <w14:schemeClr w14:val="tx1"/>
            </w14:solidFill>
          </w14:textFill>
        </w:rPr>
        <w:t>全年安排因公出国（境）团组0次，出国（境）0人。因公出国（境）支出决算与2024年度持平。</w:t>
      </w:r>
    </w:p>
    <w:p w14:paraId="573EB29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b/>
          <w:bCs/>
          <w:color w:val="000000" w:themeColor="text1"/>
          <w:sz w:val="32"/>
          <w:szCs w:val="32"/>
          <w14:textFill>
            <w14:solidFill>
              <w14:schemeClr w14:val="tx1"/>
            </w14:solidFill>
          </w14:textFill>
        </w:rPr>
        <w:t>2.公务用车购置及运行维护费支出6.61万元，完成预算100%。</w:t>
      </w:r>
      <w:r>
        <w:rPr>
          <w:rFonts w:hint="eastAsia" w:ascii="Times New Roman" w:hAnsi="Times New Roman" w:eastAsia="仿宋_GB2312" w:cs="仿宋_GB2312"/>
          <w:color w:val="000000" w:themeColor="text1"/>
          <w:sz w:val="32"/>
          <w:szCs w:val="32"/>
          <w14:textFill>
            <w14:solidFill>
              <w14:schemeClr w14:val="tx1"/>
            </w14:solidFill>
          </w14:textFill>
        </w:rPr>
        <w:t>公务用车购置及运行维护费支出决算比上年度6.73万元减少0.12万元，下降1.8%。主要原因是我委有效控制公务用车各项费用支出。</w:t>
      </w:r>
    </w:p>
    <w:p w14:paraId="1DBD334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其中：公务用车购置支出0万元。全年按规定更新购置公务用车0辆，其中：轿车0辆、金额0万元，越野车0辆、金额0万元，载客汽车0辆、金额0万元。截至2025年12月31日，单位共有公务用车5辆，其中：轿车1辆、越野车2辆、其他用车2辆（市重要和应急物资储备中心内燃叉车2辆）。</w:t>
      </w:r>
    </w:p>
    <w:p w14:paraId="54C6308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公务用车运行维护费支出6.61万元。主要用于争取项目资金、加快攀西试验区高质量发展、开展项目储备包装、推进共同富裕试验区公共服务均衡可及、深化区域合作、森林草原防灭火工作检查、开展重大项目调研、粮食及应急物资管理监督检查等所需的公务用车燃料费、维修费、过路过桥费、保险费等支出。</w:t>
      </w:r>
    </w:p>
    <w:p w14:paraId="3F102DE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b/>
          <w:bCs/>
          <w:color w:val="000000" w:themeColor="text1"/>
          <w:sz w:val="32"/>
          <w:szCs w:val="32"/>
          <w14:textFill>
            <w14:solidFill>
              <w14:schemeClr w14:val="tx1"/>
            </w14:solidFill>
          </w14:textFill>
        </w:rPr>
        <w:t>3.公务接待费支出2.92万元，完成预算100%。</w:t>
      </w:r>
      <w:r>
        <w:rPr>
          <w:rFonts w:hint="eastAsia" w:ascii="Times New Roman" w:hAnsi="Times New Roman" w:eastAsia="仿宋_GB2312" w:cs="仿宋_GB2312"/>
          <w:color w:val="000000" w:themeColor="text1"/>
          <w:sz w:val="32"/>
          <w:szCs w:val="32"/>
          <w14:textFill>
            <w14:solidFill>
              <w14:schemeClr w14:val="tx1"/>
            </w14:solidFill>
          </w14:textFill>
        </w:rPr>
        <w:t>公务接待费支出决算比上年度2.91万元增加0.01万元，增长0.3%。主要原因是公务活动增加。其中：</w:t>
      </w:r>
    </w:p>
    <w:p w14:paraId="519887F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国内公务接待支出2.92万元，主要用于省发展改革委、省粮食和物资储备局等上级部门来攀调研、检查，其他市（州）来攀对接工作、学习交流用餐费等。国内公务接待</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23</w:t>
      </w:r>
      <w:r>
        <w:rPr>
          <w:rFonts w:hint="eastAsia" w:ascii="Times New Roman" w:hAnsi="Times New Roman" w:eastAsia="仿宋_GB2312" w:cs="仿宋_GB2312"/>
          <w:color w:val="000000" w:themeColor="text1"/>
          <w:sz w:val="32"/>
          <w:szCs w:val="32"/>
          <w14:textFill>
            <w14:solidFill>
              <w14:schemeClr w14:val="tx1"/>
            </w14:solidFill>
          </w14:textFill>
        </w:rPr>
        <w:t>批次，132人次（不包括陪同人员），共计支出2.92万元，具体内容包括：国家发展改革委、国家能源局、省发展改革委、省能源局、省粮食和物资储备局、省大数据中心等上级部门来攀调研数字人才、安全生产、核查项目等接待支出1.68万元；省高科技产业化协会、区域协会、成都西南交大设计研究院有限公司、千方联陆智能交通科技（上海）有限公司、凉山州人民政府、中铁二院、成昆铁路公司、中铁快运等相关单位来攀开展交流、调研等工作接待支出1.24万元。</w:t>
      </w:r>
    </w:p>
    <w:p w14:paraId="500A87D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外事接待支出0万元。</w:t>
      </w:r>
      <w:bookmarkStart w:id="51" w:name="_Toc15396610"/>
      <w:bookmarkStart w:id="52" w:name="_Toc15377218"/>
    </w:p>
    <w:p w14:paraId="3590281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Style w:val="30"/>
          <w:rFonts w:hint="eastAsia" w:ascii="黑体" w:hAnsi="黑体" w:eastAsia="黑体" w:cs="黑体"/>
          <w:color w:val="000000" w:themeColor="text1"/>
          <w:sz w:val="32"/>
          <w14:textFill>
            <w14:solidFill>
              <w14:schemeClr w14:val="tx1"/>
            </w14:solidFill>
          </w14:textFill>
        </w:rPr>
      </w:pPr>
      <w:bookmarkStart w:id="53" w:name="_Toc17749"/>
      <w:r>
        <w:rPr>
          <w:rFonts w:hint="eastAsia" w:ascii="黑体" w:hAnsi="黑体" w:eastAsia="黑体" w:cs="黑体"/>
          <w:color w:val="000000" w:themeColor="text1"/>
          <w:sz w:val="32"/>
          <w:szCs w:val="32"/>
          <w14:textFill>
            <w14:solidFill>
              <w14:schemeClr w14:val="tx1"/>
            </w14:solidFill>
          </w14:textFill>
        </w:rPr>
        <w:t>八、</w:t>
      </w:r>
      <w:r>
        <w:rPr>
          <w:rStyle w:val="30"/>
          <w:rFonts w:hint="eastAsia" w:ascii="黑体" w:hAnsi="黑体" w:eastAsia="黑体" w:cs="黑体"/>
          <w:b w:val="0"/>
          <w:color w:val="000000" w:themeColor="text1"/>
          <w:sz w:val="32"/>
          <w14:textFill>
            <w14:solidFill>
              <w14:schemeClr w14:val="tx1"/>
            </w14:solidFill>
          </w14:textFill>
        </w:rPr>
        <w:t>政府性基金预算支出决算情况说明</w:t>
      </w:r>
      <w:bookmarkEnd w:id="51"/>
      <w:bookmarkEnd w:id="52"/>
      <w:bookmarkEnd w:id="53"/>
    </w:p>
    <w:p w14:paraId="71D492B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政府性基金预算财政拨款支出219.06万元，占本年支出合计19,284.19万元的1.1%。与上年度相比，政府性基金预算财政拨款支出增加178.61万元，增长441.6%。主要变动原因是攀枝花市粮食质量检验监测中心实验室改造项目、设备添置及运行经费增加。</w:t>
      </w:r>
    </w:p>
    <w:p w14:paraId="32A2C787">
      <w:pPr>
        <w:keepNext w:val="0"/>
        <w:keepLines w:val="0"/>
        <w:pageBreakBefore w:val="0"/>
        <w:widowControl w:val="0"/>
        <w:kinsoku/>
        <w:wordWrap/>
        <w:overflowPunct/>
        <w:topLinePunct w:val="0"/>
        <w:autoSpaceDE/>
        <w:autoSpaceDN/>
        <w:bidi w:val="0"/>
        <w:adjustRightInd/>
        <w:snapToGrid/>
        <w:spacing w:line="600" w:lineRule="exact"/>
        <w:ind w:left="630"/>
        <w:textAlignment w:val="auto"/>
        <w:outlineLvl w:val="1"/>
        <w:rPr>
          <w:rStyle w:val="30"/>
          <w:rFonts w:hint="eastAsia" w:ascii="黑体" w:hAnsi="黑体" w:eastAsia="黑体" w:cs="黑体"/>
          <w:b w:val="0"/>
          <w:color w:val="000000" w:themeColor="text1"/>
          <w:sz w:val="32"/>
          <w14:textFill>
            <w14:solidFill>
              <w14:schemeClr w14:val="tx1"/>
            </w14:solidFill>
          </w14:textFill>
        </w:rPr>
      </w:pPr>
      <w:bookmarkStart w:id="54" w:name="_Toc15396611"/>
      <w:bookmarkStart w:id="55" w:name="_Toc15377219"/>
      <w:bookmarkStart w:id="56" w:name="_Toc25007"/>
      <w:r>
        <w:rPr>
          <w:rStyle w:val="30"/>
          <w:rFonts w:hint="eastAsia" w:ascii="黑体" w:hAnsi="黑体" w:eastAsia="黑体" w:cs="黑体"/>
          <w:b w:val="0"/>
          <w:color w:val="000000" w:themeColor="text1"/>
          <w:sz w:val="32"/>
          <w14:textFill>
            <w14:solidFill>
              <w14:schemeClr w14:val="tx1"/>
            </w14:solidFill>
          </w14:textFill>
        </w:rPr>
        <w:t>九、国有资本经营预算支出决算情况说明</w:t>
      </w:r>
      <w:bookmarkEnd w:id="54"/>
      <w:bookmarkEnd w:id="55"/>
      <w:bookmarkEnd w:id="56"/>
    </w:p>
    <w:p w14:paraId="7ABB368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2025年度国有资本经营预算财政拨款支出0万元，占本年支出合计的0%。与上年度相比，国有资本经营预算财政拨款支出与上年持平。</w:t>
      </w:r>
    </w:p>
    <w:p w14:paraId="683F8A1B">
      <w:pPr>
        <w:keepNext w:val="0"/>
        <w:keepLines w:val="0"/>
        <w:pageBreakBefore w:val="0"/>
        <w:widowControl w:val="0"/>
        <w:kinsoku/>
        <w:wordWrap/>
        <w:overflowPunct/>
        <w:topLinePunct w:val="0"/>
        <w:autoSpaceDE/>
        <w:autoSpaceDN/>
        <w:bidi w:val="0"/>
        <w:adjustRightInd/>
        <w:snapToGrid/>
        <w:spacing w:line="600" w:lineRule="exact"/>
        <w:ind w:left="630"/>
        <w:textAlignment w:val="auto"/>
        <w:outlineLvl w:val="1"/>
        <w:rPr>
          <w:rStyle w:val="30"/>
          <w:rFonts w:hint="eastAsia" w:ascii="黑体" w:hAnsi="黑体" w:eastAsia="黑体" w:cs="黑体"/>
          <w:b w:val="0"/>
          <w:color w:val="000000" w:themeColor="text1"/>
          <w:sz w:val="32"/>
          <w14:textFill>
            <w14:solidFill>
              <w14:schemeClr w14:val="tx1"/>
            </w14:solidFill>
          </w14:textFill>
        </w:rPr>
      </w:pPr>
      <w:bookmarkStart w:id="57" w:name="_Toc15377221"/>
      <w:bookmarkStart w:id="58" w:name="_Toc15396612"/>
      <w:bookmarkStart w:id="59" w:name="_Toc25362"/>
      <w:r>
        <w:rPr>
          <w:rStyle w:val="30"/>
          <w:rFonts w:hint="eastAsia" w:ascii="黑体" w:hAnsi="黑体" w:eastAsia="黑体" w:cs="黑体"/>
          <w:b w:val="0"/>
          <w:color w:val="000000" w:themeColor="text1"/>
          <w:sz w:val="32"/>
          <w14:textFill>
            <w14:solidFill>
              <w14:schemeClr w14:val="tx1"/>
            </w14:solidFill>
          </w14:textFill>
        </w:rPr>
        <w:t>十、其他重要事项的情况说明</w:t>
      </w:r>
      <w:bookmarkEnd w:id="57"/>
      <w:bookmarkEnd w:id="58"/>
      <w:bookmarkEnd w:id="59"/>
    </w:p>
    <w:p w14:paraId="6EFBBAB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bookmarkStart w:id="60" w:name="_Toc15377222"/>
      <w:r>
        <w:rPr>
          <w:rFonts w:hint="eastAsia" w:eastAsia="楷体_GB2312" w:cs="楷体_GB2312"/>
          <w:b/>
          <w:color w:val="000000" w:themeColor="text1"/>
          <w:sz w:val="32"/>
          <w:szCs w:val="32"/>
          <w14:textFill>
            <w14:solidFill>
              <w14:schemeClr w14:val="tx1"/>
            </w14:solidFill>
          </w14:textFill>
        </w:rPr>
        <w:t>（一）机关运行经费支出情况</w:t>
      </w:r>
      <w:bookmarkEnd w:id="60"/>
    </w:p>
    <w:p w14:paraId="79DDFA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攀枝花市发展和改革委员会机关运行经费支出276.4万元，比上年度增加16.39万元，增长6.3%。主要原因是因工作需要及人员增加，2025年度的会议费、水电费、物业管理费、租赁费、邮电费、其他交通费用支出较2024年度均有所增加，导致机关运行经费支出增加。</w:t>
      </w:r>
    </w:p>
    <w:p w14:paraId="31C4F7D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bookmarkStart w:id="61" w:name="_Toc15377223"/>
      <w:r>
        <w:rPr>
          <w:rFonts w:hint="eastAsia" w:eastAsia="楷体_GB2312" w:cs="楷体_GB2312"/>
          <w:b/>
          <w:color w:val="000000" w:themeColor="text1"/>
          <w:sz w:val="32"/>
          <w:szCs w:val="32"/>
          <w14:textFill>
            <w14:solidFill>
              <w14:schemeClr w14:val="tx1"/>
            </w14:solidFill>
          </w14:textFill>
        </w:rPr>
        <w:t>（二）政府采购支出情况</w:t>
      </w:r>
      <w:bookmarkEnd w:id="61"/>
    </w:p>
    <w:p w14:paraId="2A4D1FA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2025年度，攀枝花市发展和改革委员会政府采购支出总额392.68万元，其中：政府采购货物支出131.13万元、政府采购工程支出0万元、政府采购服务支出261.55万元。主要用于攀枝花市粮食质量检验监测中心实验室改造项目、设备添置及运行、昭攀铁路（攀枝花段）可行性研究报告编制、攀枝花市公共信用信息共享平台项目服务费、公务用车运行维护费等方面支出。授予中小企业合同金额245.33万元，占政府采购支出总额的62.5%，其中：授予小微企业合同金额245.33万元，占政府采购支出总额的62.5%。</w:t>
      </w:r>
    </w:p>
    <w:p w14:paraId="2F35482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bookmarkStart w:id="62" w:name="_Toc15377224"/>
      <w:r>
        <w:rPr>
          <w:rFonts w:hint="eastAsia" w:eastAsia="楷体_GB2312" w:cs="楷体_GB2312"/>
          <w:b/>
          <w:color w:val="000000" w:themeColor="text1"/>
          <w:sz w:val="32"/>
          <w:szCs w:val="32"/>
          <w14:textFill>
            <w14:solidFill>
              <w14:schemeClr w14:val="tx1"/>
            </w14:solidFill>
          </w14:textFill>
        </w:rPr>
        <w:t>（三）国有资产占有使用情况</w:t>
      </w:r>
      <w:bookmarkEnd w:id="62"/>
    </w:p>
    <w:p w14:paraId="6D9DA10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截至2025年12月31日，攀枝花市发展和改革委员会共有车辆5辆，其中：副部（省）级及以上领导用车0辆、主要负责人用车0辆、机要通信用车0辆、应急保障用车0辆、执法执勤用车0辆、特种专业技术用车0辆、离退休干部服务用车0辆、其他用车5辆，其他用车主要用于开展重大项目、共富试验区建设调研、粮食应急物资储备管理检查、安全生产督导检查等工作。单价100万元（含）以上设备（不含车辆）0台（套）。</w:t>
      </w:r>
    </w:p>
    <w:p w14:paraId="1D179BA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2"/>
        <w:rPr>
          <w:rFonts w:hint="eastAsia" w:eastAsia="楷体_GB2312" w:cs="楷体_GB2312"/>
          <w:b/>
          <w:color w:val="000000" w:themeColor="text1"/>
          <w:sz w:val="32"/>
          <w:szCs w:val="32"/>
          <w14:textFill>
            <w14:solidFill>
              <w14:schemeClr w14:val="tx1"/>
            </w14:solidFill>
          </w14:textFill>
        </w:rPr>
      </w:pPr>
      <w:r>
        <w:rPr>
          <w:rFonts w:hint="eastAsia" w:eastAsia="楷体_GB2312" w:cs="楷体_GB2312"/>
          <w:b/>
          <w:color w:val="000000" w:themeColor="text1"/>
          <w:sz w:val="32"/>
          <w:szCs w:val="32"/>
          <w14:textFill>
            <w14:solidFill>
              <w14:schemeClr w14:val="tx1"/>
            </w14:solidFill>
          </w14:textFill>
        </w:rPr>
        <w:t>（四）预算绩效管理情况</w:t>
      </w:r>
    </w:p>
    <w:p w14:paraId="1FDBD5A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根据预算绩效管理要求，市发展改革委在2025年度，组织对攀枝花市粮食质量检验监测中心实验室改造项目等23个项目涉及金额1244.62万元开展了事前绩效评估，对23个项目编制了绩效目标，预算执行过程中，开展了绩效监控。</w:t>
      </w:r>
    </w:p>
    <w:p w14:paraId="00B94EB0">
      <w:pPr>
        <w:rPr>
          <w:rFonts w:eastAsia="仿宋_GB2312" w:cs="仿宋_GB2312"/>
          <w:color w:val="000000" w:themeColor="text1"/>
          <w:sz w:val="32"/>
          <w:szCs w:val="32"/>
          <w14:textFill>
            <w14:solidFill>
              <w14:schemeClr w14:val="tx1"/>
            </w14:solidFill>
          </w14:textFill>
        </w:rPr>
      </w:pPr>
      <w:r>
        <w:rPr>
          <w:rFonts w:hint="eastAsia" w:eastAsia="仿宋_GB2312" w:cs="仿宋_GB2312"/>
          <w:color w:val="000000" w:themeColor="text1"/>
          <w:sz w:val="32"/>
          <w:szCs w:val="32"/>
          <w14:textFill>
            <w14:solidFill>
              <w14:schemeClr w14:val="tx1"/>
            </w14:solidFill>
          </w14:textFill>
        </w:rPr>
        <w:br w:type="page"/>
      </w:r>
    </w:p>
    <w:p w14:paraId="60B163E1">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eastAsia="黑体"/>
          <w:color w:val="000000" w:themeColor="text1"/>
          <w:sz w:val="44"/>
          <w:szCs w:val="44"/>
          <w14:textFill>
            <w14:solidFill>
              <w14:schemeClr w14:val="tx1"/>
            </w14:solidFill>
          </w14:textFill>
        </w:rPr>
      </w:pPr>
      <w:bookmarkStart w:id="63" w:name="_Toc15396613"/>
      <w:bookmarkStart w:id="64" w:name="_Toc15377225"/>
      <w:bookmarkStart w:id="65" w:name="_Toc19781"/>
      <w:r>
        <w:rPr>
          <w:rFonts w:hint="eastAsia" w:eastAsia="黑体"/>
          <w:color w:val="000000" w:themeColor="text1"/>
          <w:sz w:val="44"/>
          <w:szCs w:val="44"/>
          <w14:textFill>
            <w14:solidFill>
              <w14:schemeClr w14:val="tx1"/>
            </w14:solidFill>
          </w14:textFill>
        </w:rPr>
        <w:t>第三部分  名词解释</w:t>
      </w:r>
      <w:bookmarkEnd w:id="63"/>
      <w:bookmarkEnd w:id="64"/>
      <w:bookmarkEnd w:id="65"/>
    </w:p>
    <w:p w14:paraId="0627DF37">
      <w:pPr>
        <w:spacing w:line="600" w:lineRule="exact"/>
        <w:jc w:val="left"/>
        <w:rPr>
          <w:b/>
          <w:color w:val="000000" w:themeColor="text1"/>
          <w:sz w:val="44"/>
          <w:szCs w:val="44"/>
          <w14:textFill>
            <w14:solidFill>
              <w14:schemeClr w14:val="tx1"/>
            </w14:solidFill>
          </w14:textFill>
        </w:rPr>
      </w:pPr>
    </w:p>
    <w:p w14:paraId="0AEECA95">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1.财政拨款收入：指单位从同级财政部门取得的财政预算资金。</w:t>
      </w:r>
    </w:p>
    <w:p w14:paraId="2E52408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2.其他收入：指单位取得的除上述收入以外的各项收入。 </w:t>
      </w:r>
    </w:p>
    <w:p w14:paraId="033E7CF5">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3.年初结转和结余：指以前年度尚未完成、结转到本年按有关规定继续使用的资金。 </w:t>
      </w:r>
    </w:p>
    <w:p w14:paraId="182DDAD4">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4.年末结转和结余：指单位按有关规定结转到下年或以后年度继续使用的资金。</w:t>
      </w:r>
    </w:p>
    <w:p w14:paraId="5BD12AE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5.一般公共服务（类）发展与改革事务（款）行政运行（项）：指行政单位（包括实行公务员管理的事业单位）的基本支出。</w:t>
      </w:r>
    </w:p>
    <w:p w14:paraId="0982AB80">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一般公共服务（类）发展与改革事务（款）一般行政管理事务（项）：指行政单位（包括实行公务员管理的事业单位）未单独设置项级科目的其他项目支出。</w:t>
      </w:r>
    </w:p>
    <w:p w14:paraId="138CB407">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一般公共服务（类）发展与改革事务（款）事业运行（项）：指事业单位的基本支出。</w:t>
      </w:r>
    </w:p>
    <w:p w14:paraId="15101062">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一般公共服务（类）发展与改革事务（款）其他发展与改革事务支出（项）：指除上述项目以外的其他发展与改革事务支出。</w:t>
      </w:r>
    </w:p>
    <w:p w14:paraId="7CB8F12A">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一般公共服务（类）纪检监察事务（款）派驻派出机构（项）：指由纪检监察部门负担的派驻各部门和单位的纪检监察人员的专项业务支出。</w:t>
      </w:r>
    </w:p>
    <w:p w14:paraId="60264BB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一般公共服务（类）商贸事务（款）招商引资（项）：指用于招商引资、优化经济环境等方面的支出。</w:t>
      </w:r>
    </w:p>
    <w:p w14:paraId="30447ABB">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一般公共服务（类）组织事务（款）其他组织事务支出（项）：</w:t>
      </w:r>
      <w:r>
        <w:rPr>
          <w:rFonts w:hint="eastAsia" w:ascii="Times New Roman" w:hAnsi="Times New Roman" w:eastAsia="仿宋_GB2312" w:cs="仿宋_GB2312"/>
          <w:color w:val="000000" w:themeColor="text1"/>
          <w:sz w:val="32"/>
          <w14:textFill>
            <w14:solidFill>
              <w14:schemeClr w14:val="tx1"/>
            </w14:solidFill>
          </w14:textFill>
        </w:rPr>
        <w:t>指其他用于中国共产党组织部门的事务支出。</w:t>
      </w:r>
    </w:p>
    <w:p w14:paraId="1C763F6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6.社会保障和就业（类）人力资源和社会保障管理事务（款）其他人力资源和社会保障管理事务支出（项）：指其他用于人力资源和社会保障管理事务方面的支出。</w:t>
      </w:r>
    </w:p>
    <w:p w14:paraId="58914967">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社会保障和就业（类）行政事业单位养老支出（款）行政单位离退休（项）：指行政单位（包括实行公务员管理的事业单位）开支的离退休经费。</w:t>
      </w:r>
    </w:p>
    <w:p w14:paraId="4111452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社会保障和就业（类）行政事业单位养老支出（款）事业单位离退休（项）：指事业单位开支的离退休经费。</w:t>
      </w:r>
    </w:p>
    <w:p w14:paraId="58B2AE66">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社会保障和就业（类）行政事业单位养老支出（款）机关事业单位基本养老保险缴费支出（项）：指机关事业单位实施养老保险制度由单位缴纳的基本养老保险费支出。</w:t>
      </w:r>
    </w:p>
    <w:p w14:paraId="40C98D4C">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社会保障和就业（类）行政事业单位养老支出（款）机关事业单位职业年金缴费支出（项）：指机关事业单位实施养老保险制度由单位实际缴纳的职业年金支出。</w:t>
      </w:r>
    </w:p>
    <w:p w14:paraId="5765979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社会保障和就业（类）抚恤（款）死亡抚恤（项）：指按规定用于烈士和牺牲、病故人员家属的一次性和定期抚恤金、丧葬补助费以及烈士褒扬金。</w:t>
      </w:r>
    </w:p>
    <w:p w14:paraId="3B84BB3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社会保障和就业（类）社会福利（款）儿童福利（项）：指对儿童提供福利服务方面的支出。</w:t>
      </w:r>
    </w:p>
    <w:p w14:paraId="59BD915E">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7.卫生健康（类）行政事业单位医疗（款）行政单位医疗（项）：指财政部门安排的行政单位（包括实行公务员管理的事业单位，下同）基本医疗保险缴费经费，未参加医疗保险的行政单位的公费医疗经费，按国家规定享受离休人员、红军老战士待遇人员的医疗经费。</w:t>
      </w:r>
    </w:p>
    <w:p w14:paraId="7921BCA8">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卫生健康（类）行政事业单位医疗（款）事业单位医疗（项）：指财政部门安排的事业单位基本医疗保险缴费经费，未参加医疗保险的事业单位的公费医疗经费，按国家规定享受离休人员待遇的医疗经费。</w:t>
      </w:r>
    </w:p>
    <w:p w14:paraId="4BCFED7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卫生健康（类）行政事业单位医疗（款）公务员医疗补助（项）：指财政部门安排的公务员医疗补助经费。</w:t>
      </w:r>
    </w:p>
    <w:p w14:paraId="245DC70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卫生健康（类）行政事业单位医疗（款）其他行政事业单位医疗支出（项）：指其他用于行政事业单位医疗方面的支出。</w:t>
      </w:r>
    </w:p>
    <w:p w14:paraId="643E622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卫生健康（类）其他卫生健康支出（款）其他卫生健康支出（项）：</w:t>
      </w:r>
      <w:r>
        <w:rPr>
          <w:rFonts w:hint="eastAsia" w:ascii="Times New Roman" w:hAnsi="Times New Roman" w:eastAsia="仿宋_GB2312" w:cs="仿宋_GB2312"/>
          <w:color w:val="000000" w:themeColor="text1"/>
          <w:sz w:val="32"/>
          <w14:textFill>
            <w14:solidFill>
              <w14:schemeClr w14:val="tx1"/>
            </w14:solidFill>
          </w14:textFill>
        </w:rPr>
        <w:t>指其他用于卫生健康方面的支出。</w:t>
      </w:r>
    </w:p>
    <w:p w14:paraId="3AC83F21">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8.住房保障（类）住房改革支出（款）住房公积金（项）：指行政事业单位按人力资源和社会保障部、财政部规定的基本工资和津贴补贴以及规定比例为职工缴纳的住房公积金。</w:t>
      </w:r>
    </w:p>
    <w:p w14:paraId="18BA8A6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9.城乡社区支出（类）国有土地使用权出让收入安排的支出（款）土地开发支出（项）：指新疆生产建设兵团和地方政府用于前期土地开发性支出以及与前期土地开发相关的费用等支出。</w:t>
      </w:r>
    </w:p>
    <w:p w14:paraId="0C892510">
      <w:pPr>
        <w:pStyle w:val="14"/>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城乡社区支出（类）国有土地使用权出让收入安排的支出（款）农业生产发展支出（项）：指土地出让收入用于高标准农田建设、农田水利建设、农村土地综合整治、耕地及永久基本农田保护支出、现代种业提升等方面的支出。</w:t>
      </w:r>
    </w:p>
    <w:p w14:paraId="31EEF338">
      <w:pPr>
        <w:pStyle w:val="8"/>
        <w:keepNext w:val="0"/>
        <w:keepLines w:val="0"/>
        <w:pageBreakBefore w:val="0"/>
        <w:widowControl w:val="0"/>
        <w:kinsoku/>
        <w:wordWrap/>
        <w:overflowPunct/>
        <w:topLinePunct w:val="0"/>
        <w:autoSpaceDE/>
        <w:autoSpaceDN/>
        <w:bidi w:val="0"/>
        <w:adjustRightInd/>
        <w:spacing w:after="0" w:line="600" w:lineRule="exact"/>
        <w:ind w:left="0" w:leftChars="0" w:firstLine="640"/>
        <w:textAlignment w:val="auto"/>
        <w:rPr>
          <w:rFonts w:hint="eastAsia" w:ascii="Times New Roman" w:hAnsi="Times New Roman" w:eastAsia="仿宋_GB2312" w:cs="仿宋_GB2312"/>
          <w:color w:val="000000" w:themeColor="text1"/>
          <w:sz w:val="32"/>
          <w14:textFill>
            <w14:solidFill>
              <w14:schemeClr w14:val="tx1"/>
            </w14:solidFill>
          </w14:textFill>
        </w:rPr>
      </w:pPr>
      <w:r>
        <w:rPr>
          <w:rFonts w:hint="eastAsia" w:ascii="Times New Roman" w:hAnsi="Times New Roman" w:eastAsia="仿宋_GB2312" w:cs="仿宋_GB2312"/>
          <w:color w:val="000000" w:themeColor="text1"/>
          <w:sz w:val="32"/>
          <w14:textFill>
            <w14:solidFill>
              <w14:schemeClr w14:val="tx1"/>
            </w14:solidFill>
          </w14:textFill>
        </w:rPr>
        <w:t>10.其他支出（类）其他政府性基金及对应专项债务收入安排的支出（款）其他政府性基金债务收入安排的支出（项）：指其他政府性基金对应专项债务收入安排的支出。</w:t>
      </w:r>
    </w:p>
    <w:p w14:paraId="77094426">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其他支出（类）其他支出（款）其他支出（项）：指除上述项目以外其他不能划分到具体功能科目中的支出项目。</w:t>
      </w:r>
    </w:p>
    <w:p w14:paraId="6F09AEA8">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11.基本支出：指为保障机构正常运转、完成日常工作任务而发生的人员支出和公用支出。</w:t>
      </w:r>
    </w:p>
    <w:p w14:paraId="2950595D">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12.项目支出：指在基本支出之外为完成特定行政任务和事业发展目标所发生的支出。 </w:t>
      </w:r>
    </w:p>
    <w:p w14:paraId="12B7AE83">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B8F8DC2">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D5FEDC3">
      <w:pPr>
        <w:pStyle w:val="2"/>
        <w:jc w:val="center"/>
        <w:rPr>
          <w:rFonts w:hint="eastAsia" w:ascii="Times New Roman" w:hAnsi="Times New Roman" w:eastAsia="仿宋_GB2312" w:cs="仿宋_GB2312"/>
          <w:color w:val="000000" w:themeColor="text1"/>
          <w:sz w:val="32"/>
          <w:lang w:val="zh-CN" w:bidi="ar"/>
          <w14:textFill>
            <w14:solidFill>
              <w14:schemeClr w14:val="tx1"/>
            </w14:solidFill>
          </w14:textFill>
        </w:rPr>
      </w:pPr>
      <w:bookmarkStart w:id="66" w:name="_Toc15377226"/>
      <w:r>
        <w:rPr>
          <w:rFonts w:hint="eastAsia" w:eastAsia="仿宋_GB2312" w:cs="仿宋_GB2312"/>
          <w:color w:val="000000" w:themeColor="text1"/>
          <w:kern w:val="2"/>
          <w:szCs w:val="32"/>
          <w14:textFill>
            <w14:solidFill>
              <w14:schemeClr w14:val="tx1"/>
            </w14:solidFill>
          </w14:textFill>
        </w:rPr>
        <w:br w:type="page"/>
      </w:r>
      <w:bookmarkStart w:id="67" w:name="_Toc11906"/>
      <w:bookmarkStart w:id="68" w:name="_Toc15396614"/>
      <w:r>
        <w:rPr>
          <w:rFonts w:hint="eastAsia" w:ascii="方正小标宋简体" w:hAnsi="方正小标宋简体" w:eastAsia="方正小标宋简体" w:cs="方正小标宋简体"/>
          <w:b w:val="0"/>
          <w:bCs w:val="0"/>
          <w:color w:val="000000" w:themeColor="text1"/>
          <w14:textFill>
            <w14:solidFill>
              <w14:schemeClr w14:val="tx1"/>
            </w14:solidFill>
          </w14:textFill>
        </w:rPr>
        <w:t>第四部分  附件</w:t>
      </w:r>
      <w:bookmarkEnd w:id="67"/>
      <w:bookmarkEnd w:id="68"/>
    </w:p>
    <w:p w14:paraId="31E2B57D">
      <w:pPr>
        <w:pStyle w:val="8"/>
        <w:keepNext w:val="0"/>
        <w:keepLines w:val="0"/>
        <w:pageBreakBefore w:val="0"/>
        <w:kinsoku/>
        <w:wordWrap/>
        <w:overflowPunct/>
        <w:topLinePunct w:val="0"/>
        <w:autoSpaceDE/>
        <w:autoSpaceDN/>
        <w:bidi w:val="0"/>
        <w:spacing w:after="0" w:line="600" w:lineRule="exact"/>
        <w:ind w:left="0" w:leftChars="0" w:firstLine="640" w:firstLineChars="200"/>
        <w:jc w:val="both"/>
        <w:textAlignment w:val="auto"/>
        <w:rPr>
          <w:rFonts w:hint="eastAsia" w:ascii="Times New Roman" w:hAnsi="Times New Roman" w:eastAsia="仿宋_GB2312" w:cs="仿宋_GB2312"/>
          <w:color w:val="000000" w:themeColor="text1"/>
          <w:sz w:val="32"/>
          <w:lang w:val="en-US" w:eastAsia="zh-CN" w:bidi="ar"/>
          <w14:textFill>
            <w14:solidFill>
              <w14:schemeClr w14:val="tx1"/>
            </w14:solidFill>
          </w14:textFill>
        </w:rPr>
      </w:pPr>
      <w:r>
        <w:rPr>
          <w:rFonts w:hint="eastAsia" w:ascii="Times New Roman" w:hAnsi="Times New Roman" w:eastAsia="仿宋_GB2312" w:cs="仿宋_GB2312"/>
          <w:color w:val="000000" w:themeColor="text1"/>
          <w:sz w:val="32"/>
          <w:lang w:bidi="ar"/>
          <w14:textFill>
            <w14:solidFill>
              <w14:schemeClr w14:val="tx1"/>
            </w14:solidFill>
          </w14:textFill>
        </w:rPr>
        <w:t>部门预算项目支出绩效自评表（2025年度）</w:t>
      </w:r>
      <w:r>
        <w:rPr>
          <w:rFonts w:hint="eastAsia" w:ascii="Times New Roman" w:eastAsia="仿宋_GB2312" w:cs="仿宋_GB2312"/>
          <w:color w:val="000000" w:themeColor="text1"/>
          <w:sz w:val="32"/>
          <w:lang w:val="en-US" w:eastAsia="zh-CN" w:bidi="ar"/>
          <w14:textFill>
            <w14:solidFill>
              <w14:schemeClr w14:val="tx1"/>
            </w14:solidFill>
          </w14:textFill>
        </w:rPr>
        <w:t>见附件</w:t>
      </w:r>
      <w:bookmarkStart w:id="97" w:name="_GoBack"/>
      <w:bookmarkEnd w:id="97"/>
    </w:p>
    <w:p w14:paraId="727274BF">
      <w:pPr>
        <w:pStyle w:val="8"/>
        <w:keepNext w:val="0"/>
        <w:keepLines w:val="0"/>
        <w:pageBreakBefore w:val="0"/>
        <w:kinsoku/>
        <w:wordWrap/>
        <w:overflowPunct/>
        <w:topLinePunct w:val="0"/>
        <w:autoSpaceDE/>
        <w:autoSpaceDN/>
        <w:bidi w:val="0"/>
        <w:spacing w:after="0" w:line="600" w:lineRule="exact"/>
        <w:ind w:left="0" w:leftChars="0" w:firstLine="640" w:firstLineChars="200"/>
        <w:jc w:val="both"/>
        <w:textAlignment w:val="auto"/>
        <w:rPr>
          <w:rFonts w:hint="eastAsia" w:ascii="Times New Roman" w:hAnsi="Times New Roman" w:eastAsia="仿宋_GB2312" w:cs="仿宋_GB2312"/>
          <w:color w:val="000000" w:themeColor="text1"/>
          <w:sz w:val="32"/>
          <w:highlight w:val="yellow"/>
          <w:lang w:val="zh-CN"/>
          <w14:textFill>
            <w14:solidFill>
              <w14:schemeClr w14:val="tx1"/>
            </w14:solidFill>
          </w14:textFill>
        </w:rPr>
      </w:pPr>
    </w:p>
    <w:p w14:paraId="4234B29D">
      <w:pPr>
        <w:pStyle w:val="6"/>
        <w:keepNext w:val="0"/>
        <w:keepLines w:val="0"/>
        <w:pageBreakBefore w:val="0"/>
        <w:kinsoku/>
        <w:wordWrap/>
        <w:overflowPunct/>
        <w:topLinePunct w:val="0"/>
        <w:autoSpaceDE/>
        <w:autoSpaceDN/>
        <w:bidi w:val="0"/>
        <w:spacing w:beforeLines="0" w:line="600" w:lineRule="exact"/>
        <w:ind w:firstLine="640" w:firstLineChars="200"/>
        <w:jc w:val="both"/>
        <w:textAlignment w:val="auto"/>
        <w:rPr>
          <w:rFonts w:hint="eastAsia" w:ascii="Times New Roman" w:hAnsi="Times New Roman" w:eastAsia="仿宋_GB2312" w:cs="仿宋_GB2312"/>
          <w:color w:val="000000" w:themeColor="text1"/>
          <w:sz w:val="32"/>
          <w:szCs w:val="32"/>
          <w:highlight w:val="yellow"/>
          <w:shd w:val="clear" w:color="auto" w:fill="FFFFFF"/>
          <w:lang w:val="zh-CN"/>
          <w14:textFill>
            <w14:solidFill>
              <w14:schemeClr w14:val="tx1"/>
            </w14:solidFill>
          </w14:textFill>
        </w:rPr>
      </w:pPr>
    </w:p>
    <w:p w14:paraId="318B2561">
      <w:pPr>
        <w:keepNext w:val="0"/>
        <w:keepLines w:val="0"/>
        <w:pageBreakBefore w:val="0"/>
        <w:kinsoku/>
        <w:wordWrap/>
        <w:overflowPunct/>
        <w:topLinePunct w:val="0"/>
        <w:autoSpaceDE/>
        <w:autoSpaceDN/>
        <w:bidi w:val="0"/>
        <w:spacing w:line="600" w:lineRule="exact"/>
        <w:ind w:firstLine="640" w:firstLineChars="200"/>
        <w:jc w:val="both"/>
        <w:textAlignment w:val="auto"/>
        <w:rPr>
          <w:rFonts w:eastAsia="黑体" w:cs="黑体"/>
          <w:color w:val="000000" w:themeColor="text1"/>
          <w:kern w:val="0"/>
          <w:sz w:val="32"/>
          <w:szCs w:val="32"/>
          <w:shd w:val="clear" w:color="auto" w:fill="FFFFFF"/>
          <w:lang w:val="zh-CN"/>
          <w14:textFill>
            <w14:solidFill>
              <w14:schemeClr w14:val="tx1"/>
            </w14:solidFill>
          </w14:textFill>
        </w:rPr>
      </w:pPr>
      <w:r>
        <w:rPr>
          <w:rFonts w:hint="eastAsia" w:ascii="Times New Roman" w:hAnsi="Times New Roman" w:eastAsia="仿宋_GB2312" w:cs="仿宋_GB2312"/>
          <w:color w:val="000000" w:themeColor="text1"/>
          <w:kern w:val="0"/>
          <w:sz w:val="32"/>
          <w:szCs w:val="32"/>
          <w:shd w:val="clear" w:color="auto" w:fill="FFFFFF"/>
          <w:lang w:val="zh-CN"/>
          <w14:textFill>
            <w14:solidFill>
              <w14:schemeClr w14:val="tx1"/>
            </w14:solidFill>
          </w14:textFill>
        </w:rPr>
        <w:br w:type="page"/>
      </w:r>
    </w:p>
    <w:p w14:paraId="15B789C8">
      <w:pPr>
        <w:pStyle w:val="2"/>
        <w:keepNext/>
        <w:keepLines/>
        <w:pageBreakBefore w:val="0"/>
        <w:widowControl w:val="0"/>
        <w:kinsoku/>
        <w:wordWrap/>
        <w:overflowPunct/>
        <w:topLinePunct w:val="0"/>
        <w:autoSpaceDE/>
        <w:autoSpaceDN/>
        <w:bidi w:val="0"/>
        <w:adjustRightInd/>
        <w:snapToGrid/>
        <w:spacing w:line="579" w:lineRule="auto"/>
        <w:jc w:val="center"/>
        <w:textAlignment w:val="auto"/>
        <w:rPr>
          <w:rFonts w:ascii="方正小标宋简体" w:hAnsi="方正小标宋简体" w:eastAsia="方正小标宋简体" w:cs="方正小标宋简体"/>
          <w:b w:val="0"/>
          <w:color w:val="000000" w:themeColor="text1"/>
          <w14:textFill>
            <w14:solidFill>
              <w14:schemeClr w14:val="tx1"/>
            </w14:solidFill>
          </w14:textFill>
        </w:rPr>
      </w:pPr>
      <w:bookmarkStart w:id="69" w:name="_Toc15396618"/>
      <w:bookmarkStart w:id="70" w:name="_Toc10873"/>
      <w:r>
        <w:rPr>
          <w:rFonts w:hint="eastAsia" w:ascii="方正小标宋简体" w:hAnsi="方正小标宋简体" w:eastAsia="方正小标宋简体" w:cs="方正小标宋简体"/>
          <w:color w:val="000000" w:themeColor="text1"/>
          <w14:textFill>
            <w14:solidFill>
              <w14:schemeClr w14:val="tx1"/>
            </w14:solidFill>
          </w14:textFill>
        </w:rPr>
        <w:t>第</w:t>
      </w:r>
      <w:r>
        <w:rPr>
          <w:rStyle w:val="29"/>
          <w:rFonts w:hint="eastAsia" w:ascii="方正小标宋简体" w:hAnsi="方正小标宋简体" w:eastAsia="方正小标宋简体" w:cs="方正小标宋简体"/>
          <w:b w:val="0"/>
          <w:bCs/>
          <w:color w:val="000000" w:themeColor="text1"/>
          <w14:textFill>
            <w14:solidFill>
              <w14:schemeClr w14:val="tx1"/>
            </w14:solidFill>
          </w14:textFill>
        </w:rPr>
        <w:t>五部分 附表</w:t>
      </w:r>
      <w:bookmarkEnd w:id="66"/>
      <w:bookmarkEnd w:id="69"/>
      <w:bookmarkEnd w:id="70"/>
      <w:bookmarkStart w:id="71" w:name="_Toc15396619"/>
    </w:p>
    <w:p w14:paraId="3B423512">
      <w:pPr>
        <w:pStyle w:val="3"/>
        <w:spacing w:before="0" w:after="0" w:line="600" w:lineRule="exact"/>
        <w:ind w:firstLine="640" w:firstLineChars="200"/>
        <w:rPr>
          <w:rFonts w:ascii="方正仿宋_GB2312" w:hAnsi="方正仿宋_GB2312" w:eastAsia="方正仿宋_GB2312" w:cs="方正仿宋_GB2312"/>
          <w:b w:val="0"/>
          <w:bCs w:val="0"/>
          <w:color w:val="000000" w:themeColor="text1"/>
          <w14:textFill>
            <w14:solidFill>
              <w14:schemeClr w14:val="tx1"/>
            </w14:solidFill>
          </w14:textFill>
        </w:rPr>
      </w:pPr>
    </w:p>
    <w:p w14:paraId="7D4D31EB">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72" w:name="_Toc6651"/>
      <w:r>
        <w:rPr>
          <w:rFonts w:hint="eastAsia" w:ascii="仿宋_GB2312" w:hAnsi="仿宋_GB2312" w:eastAsia="仿宋_GB2312" w:cs="仿宋_GB2312"/>
          <w:b w:val="0"/>
          <w:bCs w:val="0"/>
          <w:color w:val="000000" w:themeColor="text1"/>
          <w14:textFill>
            <w14:solidFill>
              <w14:schemeClr w14:val="tx1"/>
            </w14:solidFill>
          </w14:textFill>
        </w:rPr>
        <w:t>一、收入支出决算总表</w:t>
      </w:r>
      <w:bookmarkEnd w:id="71"/>
      <w:bookmarkEnd w:id="72"/>
    </w:p>
    <w:p w14:paraId="3EE2EBB2">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73" w:name="_Toc15396620"/>
      <w:bookmarkStart w:id="74" w:name="_Toc6643"/>
      <w:r>
        <w:rPr>
          <w:rFonts w:hint="eastAsia" w:ascii="仿宋_GB2312" w:hAnsi="仿宋_GB2312" w:eastAsia="仿宋_GB2312" w:cs="仿宋_GB2312"/>
          <w:b w:val="0"/>
          <w:bCs w:val="0"/>
          <w:color w:val="000000" w:themeColor="text1"/>
          <w14:textFill>
            <w14:solidFill>
              <w14:schemeClr w14:val="tx1"/>
            </w14:solidFill>
          </w14:textFill>
        </w:rPr>
        <w:t>二、收入决算表</w:t>
      </w:r>
      <w:bookmarkEnd w:id="73"/>
      <w:bookmarkEnd w:id="74"/>
    </w:p>
    <w:p w14:paraId="299862AF">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75" w:name="_Toc15396621"/>
      <w:bookmarkStart w:id="76" w:name="_Toc1157"/>
      <w:r>
        <w:rPr>
          <w:rFonts w:hint="eastAsia" w:ascii="仿宋_GB2312" w:hAnsi="仿宋_GB2312" w:eastAsia="仿宋_GB2312" w:cs="仿宋_GB2312"/>
          <w:b w:val="0"/>
          <w:bCs w:val="0"/>
          <w:color w:val="000000" w:themeColor="text1"/>
          <w14:textFill>
            <w14:solidFill>
              <w14:schemeClr w14:val="tx1"/>
            </w14:solidFill>
          </w14:textFill>
        </w:rPr>
        <w:t>三、支出决算表</w:t>
      </w:r>
      <w:bookmarkEnd w:id="75"/>
      <w:bookmarkEnd w:id="76"/>
    </w:p>
    <w:p w14:paraId="456CB89E">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77" w:name="_Toc15396622"/>
      <w:bookmarkStart w:id="78" w:name="_Toc17297"/>
      <w:r>
        <w:rPr>
          <w:rFonts w:hint="eastAsia" w:ascii="仿宋_GB2312" w:hAnsi="仿宋_GB2312" w:eastAsia="仿宋_GB2312" w:cs="仿宋_GB2312"/>
          <w:b w:val="0"/>
          <w:bCs w:val="0"/>
          <w:color w:val="000000" w:themeColor="text1"/>
          <w14:textFill>
            <w14:solidFill>
              <w14:schemeClr w14:val="tx1"/>
            </w14:solidFill>
          </w14:textFill>
        </w:rPr>
        <w:t>四、财政拨款收入支出决算总表</w:t>
      </w:r>
      <w:bookmarkEnd w:id="77"/>
      <w:bookmarkEnd w:id="78"/>
    </w:p>
    <w:p w14:paraId="39E5C8B5">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79" w:name="_Toc15396623"/>
      <w:bookmarkStart w:id="80" w:name="_Toc3989"/>
      <w:r>
        <w:rPr>
          <w:rFonts w:hint="eastAsia" w:ascii="仿宋_GB2312" w:hAnsi="仿宋_GB2312" w:eastAsia="仿宋_GB2312" w:cs="仿宋_GB2312"/>
          <w:b w:val="0"/>
          <w:bCs w:val="0"/>
          <w:color w:val="000000" w:themeColor="text1"/>
          <w14:textFill>
            <w14:solidFill>
              <w14:schemeClr w14:val="tx1"/>
            </w14:solidFill>
          </w14:textFill>
        </w:rPr>
        <w:t>五、财政拨款支出决算明细表</w:t>
      </w:r>
      <w:bookmarkEnd w:id="79"/>
      <w:bookmarkEnd w:id="80"/>
      <w:bookmarkStart w:id="81" w:name="_Toc15396624"/>
    </w:p>
    <w:p w14:paraId="09CEAC4B">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82" w:name="_Toc16320"/>
      <w:r>
        <w:rPr>
          <w:rFonts w:hint="eastAsia" w:ascii="仿宋_GB2312" w:hAnsi="仿宋_GB2312" w:eastAsia="仿宋_GB2312" w:cs="仿宋_GB2312"/>
          <w:b w:val="0"/>
          <w:bCs w:val="0"/>
          <w:color w:val="000000" w:themeColor="text1"/>
          <w14:textFill>
            <w14:solidFill>
              <w14:schemeClr w14:val="tx1"/>
            </w14:solidFill>
          </w14:textFill>
        </w:rPr>
        <w:t>六、一般公共预算财政拨款支出决算表</w:t>
      </w:r>
      <w:bookmarkEnd w:id="81"/>
      <w:bookmarkEnd w:id="82"/>
    </w:p>
    <w:p w14:paraId="46E27AEB">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83" w:name="_Toc15396625"/>
      <w:bookmarkStart w:id="84" w:name="_Toc9098"/>
      <w:r>
        <w:rPr>
          <w:rFonts w:hint="eastAsia" w:ascii="仿宋_GB2312" w:hAnsi="仿宋_GB2312" w:eastAsia="仿宋_GB2312" w:cs="仿宋_GB2312"/>
          <w:b w:val="0"/>
          <w:bCs w:val="0"/>
          <w:color w:val="000000" w:themeColor="text1"/>
          <w14:textFill>
            <w14:solidFill>
              <w14:schemeClr w14:val="tx1"/>
            </w14:solidFill>
          </w14:textFill>
        </w:rPr>
        <w:t>七、一般公共预算财政拨款支出决算明细表</w:t>
      </w:r>
      <w:bookmarkEnd w:id="83"/>
      <w:bookmarkEnd w:id="84"/>
    </w:p>
    <w:p w14:paraId="0EFDD23A">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85" w:name="_Toc18559"/>
      <w:bookmarkStart w:id="86" w:name="_Toc15396626"/>
      <w:r>
        <w:rPr>
          <w:rFonts w:hint="eastAsia" w:ascii="仿宋_GB2312" w:hAnsi="仿宋_GB2312" w:eastAsia="仿宋_GB2312" w:cs="仿宋_GB2312"/>
          <w:b w:val="0"/>
          <w:bCs w:val="0"/>
          <w:color w:val="000000" w:themeColor="text1"/>
          <w14:textFill>
            <w14:solidFill>
              <w14:schemeClr w14:val="tx1"/>
            </w14:solidFill>
          </w14:textFill>
        </w:rPr>
        <w:t>八、一般公共预算财政拨款基本支出决算明细表</w:t>
      </w:r>
      <w:bookmarkEnd w:id="85"/>
      <w:bookmarkEnd w:id="86"/>
    </w:p>
    <w:p w14:paraId="0AAF5C0B">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87" w:name="_Toc8468"/>
      <w:bookmarkStart w:id="88" w:name="_Toc15396627"/>
      <w:r>
        <w:rPr>
          <w:rFonts w:hint="eastAsia" w:ascii="仿宋_GB2312" w:hAnsi="仿宋_GB2312" w:eastAsia="仿宋_GB2312" w:cs="仿宋_GB2312"/>
          <w:b w:val="0"/>
          <w:bCs w:val="0"/>
          <w:color w:val="000000" w:themeColor="text1"/>
          <w14:textFill>
            <w14:solidFill>
              <w14:schemeClr w14:val="tx1"/>
            </w14:solidFill>
          </w14:textFill>
        </w:rPr>
        <w:t>九、一般公共预算财政拨款项目支出决算表</w:t>
      </w:r>
      <w:bookmarkEnd w:id="87"/>
      <w:bookmarkEnd w:id="88"/>
    </w:p>
    <w:p w14:paraId="196F0350">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89" w:name="_Toc15396628"/>
      <w:bookmarkStart w:id="90" w:name="_Toc22436"/>
      <w:r>
        <w:rPr>
          <w:rFonts w:hint="eastAsia" w:ascii="仿宋_GB2312" w:hAnsi="仿宋_GB2312" w:eastAsia="仿宋_GB2312" w:cs="仿宋_GB2312"/>
          <w:b w:val="0"/>
          <w:bCs w:val="0"/>
          <w:color w:val="000000" w:themeColor="text1"/>
          <w14:textFill>
            <w14:solidFill>
              <w14:schemeClr w14:val="tx1"/>
            </w14:solidFill>
          </w14:textFill>
        </w:rPr>
        <w:t>十、</w:t>
      </w:r>
      <w:bookmarkEnd w:id="89"/>
      <w:r>
        <w:rPr>
          <w:rFonts w:hint="eastAsia" w:ascii="仿宋_GB2312" w:hAnsi="仿宋_GB2312" w:eastAsia="仿宋_GB2312" w:cs="仿宋_GB2312"/>
          <w:b w:val="0"/>
          <w:bCs w:val="0"/>
          <w:color w:val="000000" w:themeColor="text1"/>
          <w14:textFill>
            <w14:solidFill>
              <w14:schemeClr w14:val="tx1"/>
            </w14:solidFill>
          </w14:textFill>
        </w:rPr>
        <w:t>政府性基金预算财政拨款收入支出决算表</w:t>
      </w:r>
      <w:bookmarkEnd w:id="90"/>
    </w:p>
    <w:p w14:paraId="1BAFD683">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91" w:name="_Toc15396629"/>
      <w:bookmarkStart w:id="92" w:name="_Toc28410"/>
      <w:r>
        <w:rPr>
          <w:rFonts w:hint="eastAsia" w:ascii="仿宋_GB2312" w:hAnsi="仿宋_GB2312" w:eastAsia="仿宋_GB2312" w:cs="仿宋_GB2312"/>
          <w:b w:val="0"/>
          <w:bCs w:val="0"/>
          <w:color w:val="000000" w:themeColor="text1"/>
          <w14:textFill>
            <w14:solidFill>
              <w14:schemeClr w14:val="tx1"/>
            </w14:solidFill>
          </w14:textFill>
        </w:rPr>
        <w:t>十一、</w:t>
      </w:r>
      <w:bookmarkEnd w:id="91"/>
      <w:r>
        <w:rPr>
          <w:rFonts w:hint="eastAsia" w:ascii="仿宋_GB2312" w:hAnsi="仿宋_GB2312" w:eastAsia="仿宋_GB2312" w:cs="仿宋_GB2312"/>
          <w:b w:val="0"/>
          <w:bCs w:val="0"/>
          <w:color w:val="000000" w:themeColor="text1"/>
          <w14:textFill>
            <w14:solidFill>
              <w14:schemeClr w14:val="tx1"/>
            </w14:solidFill>
          </w14:textFill>
        </w:rPr>
        <w:t>国有资本经营预算财政拨款收入支出决算表</w:t>
      </w:r>
      <w:bookmarkEnd w:id="92"/>
    </w:p>
    <w:p w14:paraId="0B946865">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93" w:name="_Toc15396630"/>
      <w:bookmarkStart w:id="94" w:name="_Toc17430"/>
      <w:r>
        <w:rPr>
          <w:rFonts w:hint="eastAsia" w:ascii="仿宋_GB2312" w:hAnsi="仿宋_GB2312" w:eastAsia="仿宋_GB2312" w:cs="仿宋_GB2312"/>
          <w:b w:val="0"/>
          <w:bCs w:val="0"/>
          <w:color w:val="000000" w:themeColor="text1"/>
          <w14:textFill>
            <w14:solidFill>
              <w14:schemeClr w14:val="tx1"/>
            </w14:solidFill>
          </w14:textFill>
        </w:rPr>
        <w:t>十二、</w:t>
      </w:r>
      <w:bookmarkEnd w:id="93"/>
      <w:r>
        <w:rPr>
          <w:rFonts w:hint="eastAsia" w:ascii="仿宋_GB2312" w:hAnsi="仿宋_GB2312" w:eastAsia="仿宋_GB2312" w:cs="仿宋_GB2312"/>
          <w:b w:val="0"/>
          <w:bCs w:val="0"/>
          <w:color w:val="000000" w:themeColor="text1"/>
          <w14:textFill>
            <w14:solidFill>
              <w14:schemeClr w14:val="tx1"/>
            </w14:solidFill>
          </w14:textFill>
        </w:rPr>
        <w:t>国有资本经营预算财政拨款支出决算表</w:t>
      </w:r>
      <w:bookmarkEnd w:id="94"/>
    </w:p>
    <w:p w14:paraId="55170322">
      <w:pPr>
        <w:pStyle w:val="3"/>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仿宋_GB2312" w:hAnsi="仿宋_GB2312" w:eastAsia="仿宋_GB2312" w:cs="仿宋_GB2312"/>
          <w:b w:val="0"/>
          <w:bCs w:val="0"/>
          <w:color w:val="000000" w:themeColor="text1"/>
          <w14:textFill>
            <w14:solidFill>
              <w14:schemeClr w14:val="tx1"/>
            </w14:solidFill>
          </w14:textFill>
        </w:rPr>
      </w:pPr>
      <w:bookmarkStart w:id="95" w:name="_Toc15396631"/>
      <w:bookmarkStart w:id="96" w:name="_Toc20178"/>
      <w:r>
        <w:rPr>
          <w:rFonts w:hint="eastAsia" w:ascii="仿宋_GB2312" w:hAnsi="仿宋_GB2312" w:eastAsia="仿宋_GB2312" w:cs="仿宋_GB2312"/>
          <w:b w:val="0"/>
          <w:bCs w:val="0"/>
          <w:color w:val="000000" w:themeColor="text1"/>
          <w14:textFill>
            <w14:solidFill>
              <w14:schemeClr w14:val="tx1"/>
            </w14:solidFill>
          </w14:textFill>
        </w:rPr>
        <w:t>十三、</w:t>
      </w:r>
      <w:bookmarkEnd w:id="95"/>
      <w:r>
        <w:rPr>
          <w:rFonts w:hint="eastAsia" w:ascii="仿宋_GB2312" w:hAnsi="仿宋_GB2312" w:eastAsia="仿宋_GB2312" w:cs="仿宋_GB2312"/>
          <w:b w:val="0"/>
          <w:bCs w:val="0"/>
          <w:color w:val="000000" w:themeColor="text1"/>
          <w14:textFill>
            <w14:solidFill>
              <w14:schemeClr w14:val="tx1"/>
            </w14:solidFill>
          </w14:textFill>
        </w:rPr>
        <w:t>财政拨款“三公”经费支出决算表</w:t>
      </w:r>
      <w:bookmarkEnd w:id="96"/>
    </w:p>
    <w:p w14:paraId="2F481B93">
      <w:pPr>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14:textFill>
            <w14:solidFill>
              <w14:schemeClr w14:val="tx1"/>
            </w14:solidFill>
          </w14:textFill>
        </w:rPr>
      </w:pP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2EB204-F15E-4A49-84AE-754ADEA55D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04EE3A4E-8333-48D7-958A-1EDA9B01ACEC}"/>
  </w:font>
  <w:font w:name="仿宋">
    <w:panose1 w:val="02010609060101010101"/>
    <w:charset w:val="86"/>
    <w:family w:val="modern"/>
    <w:pitch w:val="default"/>
    <w:sig w:usb0="800002BF" w:usb1="38CF7CFA" w:usb2="00000016" w:usb3="00000000" w:csb0="00040001" w:csb1="00000000"/>
    <w:embedRegular r:id="rId3" w:fontKey="{C3061B87-8068-43E9-9E1C-FE8E87118BA5}"/>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embedRegular r:id="rId4" w:fontKey="{7268BA22-8F25-467D-9133-95E7B1BCA7D0}"/>
  </w:font>
  <w:font w:name="方正仿宋_GB2312">
    <w:panose1 w:val="02000000000000000000"/>
    <w:charset w:val="86"/>
    <w:family w:val="auto"/>
    <w:pitch w:val="default"/>
    <w:sig w:usb0="A00002BF" w:usb1="184F6CFA" w:usb2="00000012" w:usb3="00000000" w:csb0="00040001" w:csb1="00000000"/>
    <w:embedRegular r:id="rId5" w:fontKey="{9461B12F-DF9D-4903-AD78-3A9C7722EEAD}"/>
  </w:font>
  <w:font w:name="楷体_GB2312">
    <w:panose1 w:val="02010609030101010101"/>
    <w:charset w:val="86"/>
    <w:family w:val="modern"/>
    <w:pitch w:val="default"/>
    <w:sig w:usb0="00000001" w:usb1="080E0000" w:usb2="00000000" w:usb3="00000000" w:csb0="00040000" w:csb1="00000000"/>
    <w:embedRegular r:id="rId6" w:fontKey="{0248A2D9-18D7-499A-B987-12050ED1BA1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F40CC">
    <w:pPr>
      <w:pStyle w:val="11"/>
      <w:jc w:val="center"/>
    </w:pPr>
  </w:p>
  <w:p w14:paraId="2820574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7B575">
    <w:pPr>
      <w:pStyle w:val="11"/>
      <w:jc w:val="center"/>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DFF14">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58</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52DFF14">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58</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14:paraId="2CD348E0">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4B097">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070AA3"/>
    <w:multiLevelType w:val="singleLevel"/>
    <w:tmpl w:val="21070AA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17A1A"/>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2040D"/>
    <w:rsid w:val="00142216"/>
    <w:rsid w:val="00144D6A"/>
    <w:rsid w:val="0014729F"/>
    <w:rsid w:val="00157BAB"/>
    <w:rsid w:val="001654D1"/>
    <w:rsid w:val="00174518"/>
    <w:rsid w:val="0018106D"/>
    <w:rsid w:val="001877A7"/>
    <w:rsid w:val="00191536"/>
    <w:rsid w:val="00196687"/>
    <w:rsid w:val="00196F43"/>
    <w:rsid w:val="001C0962"/>
    <w:rsid w:val="001D7531"/>
    <w:rsid w:val="001E737D"/>
    <w:rsid w:val="001F0592"/>
    <w:rsid w:val="001F7506"/>
    <w:rsid w:val="002006CD"/>
    <w:rsid w:val="00202B36"/>
    <w:rsid w:val="00204B7A"/>
    <w:rsid w:val="00204CDE"/>
    <w:rsid w:val="0021101A"/>
    <w:rsid w:val="00213CF6"/>
    <w:rsid w:val="00220536"/>
    <w:rsid w:val="00225B4F"/>
    <w:rsid w:val="00235629"/>
    <w:rsid w:val="00260C38"/>
    <w:rsid w:val="002616C0"/>
    <w:rsid w:val="002630BB"/>
    <w:rsid w:val="00265372"/>
    <w:rsid w:val="002662AA"/>
    <w:rsid w:val="00280496"/>
    <w:rsid w:val="00294DC9"/>
    <w:rsid w:val="00295495"/>
    <w:rsid w:val="002A31DE"/>
    <w:rsid w:val="002B2613"/>
    <w:rsid w:val="002D6D05"/>
    <w:rsid w:val="002F1818"/>
    <w:rsid w:val="002F567B"/>
    <w:rsid w:val="003216A9"/>
    <w:rsid w:val="00323A88"/>
    <w:rsid w:val="00335A74"/>
    <w:rsid w:val="003550AC"/>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50166"/>
    <w:rsid w:val="00471401"/>
    <w:rsid w:val="00473F31"/>
    <w:rsid w:val="0048263A"/>
    <w:rsid w:val="00487E5D"/>
    <w:rsid w:val="004A711F"/>
    <w:rsid w:val="004B199D"/>
    <w:rsid w:val="004B4690"/>
    <w:rsid w:val="004E0A2D"/>
    <w:rsid w:val="004E206B"/>
    <w:rsid w:val="004E6DF7"/>
    <w:rsid w:val="004F0FBD"/>
    <w:rsid w:val="004F318C"/>
    <w:rsid w:val="00505A47"/>
    <w:rsid w:val="00512FDA"/>
    <w:rsid w:val="00520DA0"/>
    <w:rsid w:val="00523EB0"/>
    <w:rsid w:val="005664BB"/>
    <w:rsid w:val="00566FFA"/>
    <w:rsid w:val="0057481D"/>
    <w:rsid w:val="0058486E"/>
    <w:rsid w:val="00585B33"/>
    <w:rsid w:val="0059014D"/>
    <w:rsid w:val="005B5C64"/>
    <w:rsid w:val="005C4D2E"/>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1E35"/>
    <w:rsid w:val="006440E4"/>
    <w:rsid w:val="0066343B"/>
    <w:rsid w:val="00664777"/>
    <w:rsid w:val="006671DB"/>
    <w:rsid w:val="006748A4"/>
    <w:rsid w:val="00681A31"/>
    <w:rsid w:val="00683E73"/>
    <w:rsid w:val="006A3141"/>
    <w:rsid w:val="006A5E34"/>
    <w:rsid w:val="006B2422"/>
    <w:rsid w:val="006B2B9A"/>
    <w:rsid w:val="006C1937"/>
    <w:rsid w:val="006F020C"/>
    <w:rsid w:val="00702439"/>
    <w:rsid w:val="007127B7"/>
    <w:rsid w:val="0071798E"/>
    <w:rsid w:val="007416B6"/>
    <w:rsid w:val="00746F48"/>
    <w:rsid w:val="0075404D"/>
    <w:rsid w:val="0076182A"/>
    <w:rsid w:val="00762286"/>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7F6C6F"/>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0750"/>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5F5"/>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82756"/>
    <w:rsid w:val="00A91760"/>
    <w:rsid w:val="00A93B00"/>
    <w:rsid w:val="00A93C21"/>
    <w:rsid w:val="00AB35C0"/>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2474"/>
    <w:rsid w:val="00B35F3F"/>
    <w:rsid w:val="00B36CBB"/>
    <w:rsid w:val="00B425E0"/>
    <w:rsid w:val="00B440AA"/>
    <w:rsid w:val="00B44B70"/>
    <w:rsid w:val="00B53C56"/>
    <w:rsid w:val="00B53DDC"/>
    <w:rsid w:val="00B57DAF"/>
    <w:rsid w:val="00B71F65"/>
    <w:rsid w:val="00B77EA6"/>
    <w:rsid w:val="00B81598"/>
    <w:rsid w:val="00B841F1"/>
    <w:rsid w:val="00B944D6"/>
    <w:rsid w:val="00BA3803"/>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1A8"/>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5594C"/>
    <w:rsid w:val="00D7035F"/>
    <w:rsid w:val="00D85AB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371FE"/>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432B"/>
    <w:rsid w:val="00FA23E8"/>
    <w:rsid w:val="00FC09F3"/>
    <w:rsid w:val="00FD3CC1"/>
    <w:rsid w:val="00FF1E02"/>
    <w:rsid w:val="00FF30B4"/>
    <w:rsid w:val="01084EDF"/>
    <w:rsid w:val="01113D6B"/>
    <w:rsid w:val="0129233D"/>
    <w:rsid w:val="012A4E2C"/>
    <w:rsid w:val="012D2227"/>
    <w:rsid w:val="01487061"/>
    <w:rsid w:val="01527921"/>
    <w:rsid w:val="015975B8"/>
    <w:rsid w:val="016245C6"/>
    <w:rsid w:val="01710365"/>
    <w:rsid w:val="0194674A"/>
    <w:rsid w:val="01A23516"/>
    <w:rsid w:val="01A93FA3"/>
    <w:rsid w:val="01C34939"/>
    <w:rsid w:val="01F01BD2"/>
    <w:rsid w:val="01F64D0F"/>
    <w:rsid w:val="01FF3BC3"/>
    <w:rsid w:val="020531A4"/>
    <w:rsid w:val="02111B48"/>
    <w:rsid w:val="021138F7"/>
    <w:rsid w:val="02195EE9"/>
    <w:rsid w:val="022C6982"/>
    <w:rsid w:val="02317B1B"/>
    <w:rsid w:val="024617F2"/>
    <w:rsid w:val="025D4D8E"/>
    <w:rsid w:val="026522DA"/>
    <w:rsid w:val="02832A46"/>
    <w:rsid w:val="029562D6"/>
    <w:rsid w:val="02A76009"/>
    <w:rsid w:val="02C60B85"/>
    <w:rsid w:val="02C95F7F"/>
    <w:rsid w:val="02CB1CF7"/>
    <w:rsid w:val="02D432A2"/>
    <w:rsid w:val="02D45050"/>
    <w:rsid w:val="02E21CEA"/>
    <w:rsid w:val="02E903CF"/>
    <w:rsid w:val="02FEBE30"/>
    <w:rsid w:val="0313544C"/>
    <w:rsid w:val="03166751"/>
    <w:rsid w:val="031A67DB"/>
    <w:rsid w:val="03261624"/>
    <w:rsid w:val="03433F84"/>
    <w:rsid w:val="034675D0"/>
    <w:rsid w:val="03766107"/>
    <w:rsid w:val="037B196F"/>
    <w:rsid w:val="038A7E04"/>
    <w:rsid w:val="0394658D"/>
    <w:rsid w:val="039B5B6E"/>
    <w:rsid w:val="039C2178"/>
    <w:rsid w:val="03B10EED"/>
    <w:rsid w:val="03B86720"/>
    <w:rsid w:val="03D41080"/>
    <w:rsid w:val="03D90444"/>
    <w:rsid w:val="04082AD7"/>
    <w:rsid w:val="041B280B"/>
    <w:rsid w:val="041B6CAE"/>
    <w:rsid w:val="04284503"/>
    <w:rsid w:val="04455AD9"/>
    <w:rsid w:val="04497378"/>
    <w:rsid w:val="046046C1"/>
    <w:rsid w:val="049367C7"/>
    <w:rsid w:val="04A70542"/>
    <w:rsid w:val="04FC6AE0"/>
    <w:rsid w:val="04FF212C"/>
    <w:rsid w:val="052A53FB"/>
    <w:rsid w:val="05527330"/>
    <w:rsid w:val="0559183C"/>
    <w:rsid w:val="056B77C2"/>
    <w:rsid w:val="05747309"/>
    <w:rsid w:val="057A1A3A"/>
    <w:rsid w:val="057E12A3"/>
    <w:rsid w:val="061A5470"/>
    <w:rsid w:val="061E35DE"/>
    <w:rsid w:val="063876A4"/>
    <w:rsid w:val="06530982"/>
    <w:rsid w:val="065A3ABE"/>
    <w:rsid w:val="06695AAF"/>
    <w:rsid w:val="066E0107"/>
    <w:rsid w:val="06A0349B"/>
    <w:rsid w:val="06A64F55"/>
    <w:rsid w:val="06AD422C"/>
    <w:rsid w:val="06E127B1"/>
    <w:rsid w:val="06F061D0"/>
    <w:rsid w:val="06F07F7E"/>
    <w:rsid w:val="070820B5"/>
    <w:rsid w:val="07126147"/>
    <w:rsid w:val="07181283"/>
    <w:rsid w:val="071D689A"/>
    <w:rsid w:val="07322345"/>
    <w:rsid w:val="07500A1D"/>
    <w:rsid w:val="075671B9"/>
    <w:rsid w:val="07585B24"/>
    <w:rsid w:val="075C5614"/>
    <w:rsid w:val="0768045D"/>
    <w:rsid w:val="07750484"/>
    <w:rsid w:val="077E37DC"/>
    <w:rsid w:val="07831861"/>
    <w:rsid w:val="079254DA"/>
    <w:rsid w:val="07996F6E"/>
    <w:rsid w:val="079C1EB4"/>
    <w:rsid w:val="07B92E8A"/>
    <w:rsid w:val="07DFD8BA"/>
    <w:rsid w:val="080A1514"/>
    <w:rsid w:val="08202AE5"/>
    <w:rsid w:val="08395955"/>
    <w:rsid w:val="089D7C92"/>
    <w:rsid w:val="08A94889"/>
    <w:rsid w:val="08B5322E"/>
    <w:rsid w:val="08BD0334"/>
    <w:rsid w:val="08CE609D"/>
    <w:rsid w:val="08D15B8E"/>
    <w:rsid w:val="08D223D4"/>
    <w:rsid w:val="08D330F5"/>
    <w:rsid w:val="08DA0EE6"/>
    <w:rsid w:val="08DB07E4"/>
    <w:rsid w:val="08F5187C"/>
    <w:rsid w:val="09307A26"/>
    <w:rsid w:val="09414AC1"/>
    <w:rsid w:val="094C3466"/>
    <w:rsid w:val="0958005D"/>
    <w:rsid w:val="095A7C8D"/>
    <w:rsid w:val="095F13EB"/>
    <w:rsid w:val="0969226A"/>
    <w:rsid w:val="09867E8F"/>
    <w:rsid w:val="098D7D07"/>
    <w:rsid w:val="099077F7"/>
    <w:rsid w:val="09AB2883"/>
    <w:rsid w:val="09B74D83"/>
    <w:rsid w:val="09BC683E"/>
    <w:rsid w:val="09C63853"/>
    <w:rsid w:val="09F36FDE"/>
    <w:rsid w:val="0A122902"/>
    <w:rsid w:val="0A1E12A6"/>
    <w:rsid w:val="0A1E4E03"/>
    <w:rsid w:val="0A2032A3"/>
    <w:rsid w:val="0A2A19F9"/>
    <w:rsid w:val="0A3E36F7"/>
    <w:rsid w:val="0A410AF1"/>
    <w:rsid w:val="0A6010E9"/>
    <w:rsid w:val="0A636CB9"/>
    <w:rsid w:val="0A851326"/>
    <w:rsid w:val="0A984BB5"/>
    <w:rsid w:val="0A9D666F"/>
    <w:rsid w:val="0AB1211B"/>
    <w:rsid w:val="0AB3379D"/>
    <w:rsid w:val="0AC52104"/>
    <w:rsid w:val="0AEB73DB"/>
    <w:rsid w:val="0AEC6CAF"/>
    <w:rsid w:val="0AF67B2D"/>
    <w:rsid w:val="0AFE1C93"/>
    <w:rsid w:val="0B097861"/>
    <w:rsid w:val="0B0C55A3"/>
    <w:rsid w:val="0B23083E"/>
    <w:rsid w:val="0B233797"/>
    <w:rsid w:val="0B2621C1"/>
    <w:rsid w:val="0B301291"/>
    <w:rsid w:val="0B3F59DA"/>
    <w:rsid w:val="0B537F25"/>
    <w:rsid w:val="0B5807E8"/>
    <w:rsid w:val="0B7A075E"/>
    <w:rsid w:val="0B7C00BE"/>
    <w:rsid w:val="0B815649"/>
    <w:rsid w:val="0BB772BD"/>
    <w:rsid w:val="0BCD088E"/>
    <w:rsid w:val="0BD87233"/>
    <w:rsid w:val="0BE8391A"/>
    <w:rsid w:val="0BEF6A57"/>
    <w:rsid w:val="0BFE4EEC"/>
    <w:rsid w:val="0C3B7EEE"/>
    <w:rsid w:val="0C430B50"/>
    <w:rsid w:val="0C50326D"/>
    <w:rsid w:val="0C542D5E"/>
    <w:rsid w:val="0C6236CC"/>
    <w:rsid w:val="0C6A07D3"/>
    <w:rsid w:val="0C6C4794"/>
    <w:rsid w:val="0C77186C"/>
    <w:rsid w:val="0C844B6E"/>
    <w:rsid w:val="0CA8290A"/>
    <w:rsid w:val="0CC7352F"/>
    <w:rsid w:val="0CD66F96"/>
    <w:rsid w:val="0D0504FC"/>
    <w:rsid w:val="0D054058"/>
    <w:rsid w:val="0D0C188A"/>
    <w:rsid w:val="0D0F451A"/>
    <w:rsid w:val="0D1C7D1F"/>
    <w:rsid w:val="0D222E5C"/>
    <w:rsid w:val="0D3443CA"/>
    <w:rsid w:val="0D35493D"/>
    <w:rsid w:val="0D35B1ED"/>
    <w:rsid w:val="0D3F3A0E"/>
    <w:rsid w:val="0D470B14"/>
    <w:rsid w:val="0D4F14CE"/>
    <w:rsid w:val="0D5D7DAB"/>
    <w:rsid w:val="0D612945"/>
    <w:rsid w:val="0D674D12"/>
    <w:rsid w:val="0D696CDD"/>
    <w:rsid w:val="0D71793F"/>
    <w:rsid w:val="0D7F02AE"/>
    <w:rsid w:val="0D837D9E"/>
    <w:rsid w:val="0D841421"/>
    <w:rsid w:val="0D953890"/>
    <w:rsid w:val="0D9755F8"/>
    <w:rsid w:val="0D991370"/>
    <w:rsid w:val="0DCD54AC"/>
    <w:rsid w:val="0DD24882"/>
    <w:rsid w:val="0DE07E2B"/>
    <w:rsid w:val="0DED346A"/>
    <w:rsid w:val="0DEF71E2"/>
    <w:rsid w:val="0E160A2D"/>
    <w:rsid w:val="0E2A021A"/>
    <w:rsid w:val="0E2D3866"/>
    <w:rsid w:val="0E342E47"/>
    <w:rsid w:val="0E356BBF"/>
    <w:rsid w:val="0E87566C"/>
    <w:rsid w:val="0E8F4521"/>
    <w:rsid w:val="0ED4462A"/>
    <w:rsid w:val="0EE7610B"/>
    <w:rsid w:val="0F3D21CF"/>
    <w:rsid w:val="0F56503F"/>
    <w:rsid w:val="0F841BAC"/>
    <w:rsid w:val="0F98263C"/>
    <w:rsid w:val="0FB12275"/>
    <w:rsid w:val="0FBF2BE4"/>
    <w:rsid w:val="0FC226D4"/>
    <w:rsid w:val="0FCB77DB"/>
    <w:rsid w:val="0FE8213B"/>
    <w:rsid w:val="0FEB5787"/>
    <w:rsid w:val="0FF07AC4"/>
    <w:rsid w:val="10086339"/>
    <w:rsid w:val="100E0482"/>
    <w:rsid w:val="101860EC"/>
    <w:rsid w:val="101A2510"/>
    <w:rsid w:val="101A606C"/>
    <w:rsid w:val="101F1B29"/>
    <w:rsid w:val="10234F21"/>
    <w:rsid w:val="105E064F"/>
    <w:rsid w:val="106F63B8"/>
    <w:rsid w:val="10757746"/>
    <w:rsid w:val="1077526D"/>
    <w:rsid w:val="108F423E"/>
    <w:rsid w:val="109B4DFE"/>
    <w:rsid w:val="109C2F25"/>
    <w:rsid w:val="10A36062"/>
    <w:rsid w:val="10B262A5"/>
    <w:rsid w:val="10B62239"/>
    <w:rsid w:val="10BE4C49"/>
    <w:rsid w:val="10C055FF"/>
    <w:rsid w:val="10CD7582"/>
    <w:rsid w:val="10D0497D"/>
    <w:rsid w:val="10E36DA6"/>
    <w:rsid w:val="110034B4"/>
    <w:rsid w:val="115E01DA"/>
    <w:rsid w:val="11772AA4"/>
    <w:rsid w:val="118107EC"/>
    <w:rsid w:val="11AD363C"/>
    <w:rsid w:val="11B423B2"/>
    <w:rsid w:val="11C75D80"/>
    <w:rsid w:val="11E42DD6"/>
    <w:rsid w:val="120B3EBE"/>
    <w:rsid w:val="120E39AF"/>
    <w:rsid w:val="122B630F"/>
    <w:rsid w:val="122E5DFF"/>
    <w:rsid w:val="123A0EE7"/>
    <w:rsid w:val="12527D3F"/>
    <w:rsid w:val="12636CC3"/>
    <w:rsid w:val="12696E37"/>
    <w:rsid w:val="126B0E01"/>
    <w:rsid w:val="12745F08"/>
    <w:rsid w:val="127C6B6A"/>
    <w:rsid w:val="128D0D77"/>
    <w:rsid w:val="128D6FC9"/>
    <w:rsid w:val="1292638E"/>
    <w:rsid w:val="12A10CC7"/>
    <w:rsid w:val="12B13E61"/>
    <w:rsid w:val="12CA5B28"/>
    <w:rsid w:val="12CC5D44"/>
    <w:rsid w:val="12D469A6"/>
    <w:rsid w:val="12D93FBD"/>
    <w:rsid w:val="12DD62D4"/>
    <w:rsid w:val="12FC7CAB"/>
    <w:rsid w:val="13070B2A"/>
    <w:rsid w:val="131B45D5"/>
    <w:rsid w:val="134330D1"/>
    <w:rsid w:val="134A0A16"/>
    <w:rsid w:val="134D0507"/>
    <w:rsid w:val="13573133"/>
    <w:rsid w:val="136441CE"/>
    <w:rsid w:val="13734411"/>
    <w:rsid w:val="138A3509"/>
    <w:rsid w:val="138D7D05"/>
    <w:rsid w:val="13957196"/>
    <w:rsid w:val="13B93B6C"/>
    <w:rsid w:val="13D50BC4"/>
    <w:rsid w:val="13E470BD"/>
    <w:rsid w:val="14022904"/>
    <w:rsid w:val="141F1EA3"/>
    <w:rsid w:val="14261483"/>
    <w:rsid w:val="143E4DC4"/>
    <w:rsid w:val="143F7E93"/>
    <w:rsid w:val="145359C0"/>
    <w:rsid w:val="14856F8B"/>
    <w:rsid w:val="14A00636"/>
    <w:rsid w:val="14B7032D"/>
    <w:rsid w:val="14B720DC"/>
    <w:rsid w:val="14D60986"/>
    <w:rsid w:val="14E46C49"/>
    <w:rsid w:val="150D2643"/>
    <w:rsid w:val="152F2A07"/>
    <w:rsid w:val="15311E8E"/>
    <w:rsid w:val="154F4A0A"/>
    <w:rsid w:val="156D6C3E"/>
    <w:rsid w:val="15A765F4"/>
    <w:rsid w:val="15CC2CC8"/>
    <w:rsid w:val="15EB593E"/>
    <w:rsid w:val="15EE4223"/>
    <w:rsid w:val="15EF3AF7"/>
    <w:rsid w:val="15F80BFE"/>
    <w:rsid w:val="15F9525F"/>
    <w:rsid w:val="160752E5"/>
    <w:rsid w:val="16094BB9"/>
    <w:rsid w:val="161F55D0"/>
    <w:rsid w:val="162C2EA2"/>
    <w:rsid w:val="16414353"/>
    <w:rsid w:val="165E0673"/>
    <w:rsid w:val="166D4CFC"/>
    <w:rsid w:val="16893F4C"/>
    <w:rsid w:val="169523B1"/>
    <w:rsid w:val="169A3A63"/>
    <w:rsid w:val="169E17A5"/>
    <w:rsid w:val="169F388D"/>
    <w:rsid w:val="16B03286"/>
    <w:rsid w:val="16B8213B"/>
    <w:rsid w:val="16BB723D"/>
    <w:rsid w:val="16D43419"/>
    <w:rsid w:val="16E41182"/>
    <w:rsid w:val="16E8315C"/>
    <w:rsid w:val="16F07B27"/>
    <w:rsid w:val="16F13FCB"/>
    <w:rsid w:val="16F15408"/>
    <w:rsid w:val="17013AE2"/>
    <w:rsid w:val="170240B9"/>
    <w:rsid w:val="17245C02"/>
    <w:rsid w:val="1724750F"/>
    <w:rsid w:val="17321EED"/>
    <w:rsid w:val="17664CEC"/>
    <w:rsid w:val="1767032E"/>
    <w:rsid w:val="17683B61"/>
    <w:rsid w:val="178F0754"/>
    <w:rsid w:val="17A80401"/>
    <w:rsid w:val="17E52734"/>
    <w:rsid w:val="17E61B2C"/>
    <w:rsid w:val="17EE4066"/>
    <w:rsid w:val="17EF3DF3"/>
    <w:rsid w:val="18131D1F"/>
    <w:rsid w:val="18185587"/>
    <w:rsid w:val="181F06C4"/>
    <w:rsid w:val="182C1032"/>
    <w:rsid w:val="18574301"/>
    <w:rsid w:val="186504BB"/>
    <w:rsid w:val="18695DE3"/>
    <w:rsid w:val="187529D9"/>
    <w:rsid w:val="18866995"/>
    <w:rsid w:val="188B3FAB"/>
    <w:rsid w:val="18A40BC9"/>
    <w:rsid w:val="18C22051"/>
    <w:rsid w:val="18CB2963"/>
    <w:rsid w:val="18E26F66"/>
    <w:rsid w:val="19137AFC"/>
    <w:rsid w:val="19143FA0"/>
    <w:rsid w:val="19157D18"/>
    <w:rsid w:val="192817FA"/>
    <w:rsid w:val="193523D4"/>
    <w:rsid w:val="1938089F"/>
    <w:rsid w:val="195E18DB"/>
    <w:rsid w:val="197131A1"/>
    <w:rsid w:val="19A445FC"/>
    <w:rsid w:val="19AF5A77"/>
    <w:rsid w:val="19B36563"/>
    <w:rsid w:val="19CC487B"/>
    <w:rsid w:val="19F31E08"/>
    <w:rsid w:val="1A0538E9"/>
    <w:rsid w:val="1A116F12"/>
    <w:rsid w:val="1A237F03"/>
    <w:rsid w:val="1A2851B4"/>
    <w:rsid w:val="1A473F02"/>
    <w:rsid w:val="1A606D71"/>
    <w:rsid w:val="1A8133D4"/>
    <w:rsid w:val="1AA167C8"/>
    <w:rsid w:val="1AA57581"/>
    <w:rsid w:val="1AC72748"/>
    <w:rsid w:val="1AD5775F"/>
    <w:rsid w:val="1ADC0AEE"/>
    <w:rsid w:val="1AFF4613"/>
    <w:rsid w:val="1B083691"/>
    <w:rsid w:val="1B2E0C1E"/>
    <w:rsid w:val="1B7156DA"/>
    <w:rsid w:val="1B754A9E"/>
    <w:rsid w:val="1B776A68"/>
    <w:rsid w:val="1B7D550C"/>
    <w:rsid w:val="1BA85DC3"/>
    <w:rsid w:val="1BAA4748"/>
    <w:rsid w:val="1BB27AA1"/>
    <w:rsid w:val="1BD16179"/>
    <w:rsid w:val="1BE8440E"/>
    <w:rsid w:val="1BF9122C"/>
    <w:rsid w:val="1C08659F"/>
    <w:rsid w:val="1C1222ED"/>
    <w:rsid w:val="1C142509"/>
    <w:rsid w:val="1C2564C4"/>
    <w:rsid w:val="1C273F78"/>
    <w:rsid w:val="1C6074FD"/>
    <w:rsid w:val="1C71170A"/>
    <w:rsid w:val="1C7D3C0B"/>
    <w:rsid w:val="1CAB5593"/>
    <w:rsid w:val="1CAD0994"/>
    <w:rsid w:val="1CB515F6"/>
    <w:rsid w:val="1CD04682"/>
    <w:rsid w:val="1CDD28FB"/>
    <w:rsid w:val="1CE27F12"/>
    <w:rsid w:val="1CED60A0"/>
    <w:rsid w:val="1CFF0AC4"/>
    <w:rsid w:val="1D063DC2"/>
    <w:rsid w:val="1D1207F7"/>
    <w:rsid w:val="1D152095"/>
    <w:rsid w:val="1D155CEE"/>
    <w:rsid w:val="1D384514"/>
    <w:rsid w:val="1D491D3F"/>
    <w:rsid w:val="1D7F1C04"/>
    <w:rsid w:val="1D81260B"/>
    <w:rsid w:val="1D89463E"/>
    <w:rsid w:val="1D94745E"/>
    <w:rsid w:val="1DB01DBE"/>
    <w:rsid w:val="1DC00253"/>
    <w:rsid w:val="1DE178F3"/>
    <w:rsid w:val="1E195BB5"/>
    <w:rsid w:val="1E236A34"/>
    <w:rsid w:val="1E312EFF"/>
    <w:rsid w:val="1E4C1AE7"/>
    <w:rsid w:val="1E562965"/>
    <w:rsid w:val="1E72416F"/>
    <w:rsid w:val="1E740ACF"/>
    <w:rsid w:val="1E890F8D"/>
    <w:rsid w:val="1E8A260F"/>
    <w:rsid w:val="1EAB0F03"/>
    <w:rsid w:val="1EB63404"/>
    <w:rsid w:val="1EC45B21"/>
    <w:rsid w:val="1ECB5101"/>
    <w:rsid w:val="1ECE4BF1"/>
    <w:rsid w:val="1EE95587"/>
    <w:rsid w:val="1EEB57A3"/>
    <w:rsid w:val="1EFA3C38"/>
    <w:rsid w:val="1F120F82"/>
    <w:rsid w:val="1F274302"/>
    <w:rsid w:val="1F2C36C6"/>
    <w:rsid w:val="1F334A54"/>
    <w:rsid w:val="1F3802BD"/>
    <w:rsid w:val="1F5F1CED"/>
    <w:rsid w:val="1F647304"/>
    <w:rsid w:val="1F9C084C"/>
    <w:rsid w:val="1FAD2A59"/>
    <w:rsid w:val="1FC3227C"/>
    <w:rsid w:val="1FE16BA6"/>
    <w:rsid w:val="1FF35744"/>
    <w:rsid w:val="1FF6BC77"/>
    <w:rsid w:val="20016901"/>
    <w:rsid w:val="20106B9E"/>
    <w:rsid w:val="20360CA0"/>
    <w:rsid w:val="20370574"/>
    <w:rsid w:val="20607ACB"/>
    <w:rsid w:val="20672C08"/>
    <w:rsid w:val="20765541"/>
    <w:rsid w:val="20831A0C"/>
    <w:rsid w:val="20855784"/>
    <w:rsid w:val="20893ED4"/>
    <w:rsid w:val="209D2ACD"/>
    <w:rsid w:val="20A05219"/>
    <w:rsid w:val="20A35C0A"/>
    <w:rsid w:val="20AC4ABE"/>
    <w:rsid w:val="20AE4CDA"/>
    <w:rsid w:val="20B147CB"/>
    <w:rsid w:val="20B16579"/>
    <w:rsid w:val="20B56069"/>
    <w:rsid w:val="20CF4C51"/>
    <w:rsid w:val="211D5F2B"/>
    <w:rsid w:val="213C22E6"/>
    <w:rsid w:val="21674E89"/>
    <w:rsid w:val="217A696B"/>
    <w:rsid w:val="217D46AD"/>
    <w:rsid w:val="219624CF"/>
    <w:rsid w:val="21962A9E"/>
    <w:rsid w:val="21AE7C77"/>
    <w:rsid w:val="21BC6F83"/>
    <w:rsid w:val="21ED35E0"/>
    <w:rsid w:val="21FC1A76"/>
    <w:rsid w:val="221C3EC6"/>
    <w:rsid w:val="22235254"/>
    <w:rsid w:val="22237002"/>
    <w:rsid w:val="222F59A7"/>
    <w:rsid w:val="22372AAE"/>
    <w:rsid w:val="228A52D3"/>
    <w:rsid w:val="22BC3C41"/>
    <w:rsid w:val="22D6753F"/>
    <w:rsid w:val="22E5075C"/>
    <w:rsid w:val="22F95FB5"/>
    <w:rsid w:val="230C7A96"/>
    <w:rsid w:val="231921B3"/>
    <w:rsid w:val="235651B5"/>
    <w:rsid w:val="235D4796"/>
    <w:rsid w:val="237D0994"/>
    <w:rsid w:val="23860B96"/>
    <w:rsid w:val="238E2BA1"/>
    <w:rsid w:val="23C14D25"/>
    <w:rsid w:val="23DA7B95"/>
    <w:rsid w:val="23DF51AB"/>
    <w:rsid w:val="23E26A49"/>
    <w:rsid w:val="23E80503"/>
    <w:rsid w:val="23ED5B1A"/>
    <w:rsid w:val="240371BF"/>
    <w:rsid w:val="24084702"/>
    <w:rsid w:val="241035B6"/>
    <w:rsid w:val="2434021C"/>
    <w:rsid w:val="244119C2"/>
    <w:rsid w:val="244840CD"/>
    <w:rsid w:val="245B28F0"/>
    <w:rsid w:val="2482230D"/>
    <w:rsid w:val="248B1ECD"/>
    <w:rsid w:val="249562DC"/>
    <w:rsid w:val="24997A50"/>
    <w:rsid w:val="24A7216D"/>
    <w:rsid w:val="24AD5F94"/>
    <w:rsid w:val="24AE06FA"/>
    <w:rsid w:val="24C06D8A"/>
    <w:rsid w:val="24E707BB"/>
    <w:rsid w:val="24E72569"/>
    <w:rsid w:val="24EC414F"/>
    <w:rsid w:val="24F66C50"/>
    <w:rsid w:val="251E798A"/>
    <w:rsid w:val="253F05F7"/>
    <w:rsid w:val="255319AC"/>
    <w:rsid w:val="256C6F12"/>
    <w:rsid w:val="2572277A"/>
    <w:rsid w:val="257F6C45"/>
    <w:rsid w:val="25853B30"/>
    <w:rsid w:val="25BF34E6"/>
    <w:rsid w:val="25DF5936"/>
    <w:rsid w:val="25E23E07"/>
    <w:rsid w:val="25E940BF"/>
    <w:rsid w:val="25F11989"/>
    <w:rsid w:val="25F82554"/>
    <w:rsid w:val="25FF38E2"/>
    <w:rsid w:val="260F557C"/>
    <w:rsid w:val="263E265D"/>
    <w:rsid w:val="265005E2"/>
    <w:rsid w:val="265A6D6B"/>
    <w:rsid w:val="266B541C"/>
    <w:rsid w:val="266D2F42"/>
    <w:rsid w:val="26946D95"/>
    <w:rsid w:val="26C50688"/>
    <w:rsid w:val="26E256DE"/>
    <w:rsid w:val="26EE4083"/>
    <w:rsid w:val="27473793"/>
    <w:rsid w:val="274D3E6B"/>
    <w:rsid w:val="27644345"/>
    <w:rsid w:val="27716A62"/>
    <w:rsid w:val="27B84691"/>
    <w:rsid w:val="27E15995"/>
    <w:rsid w:val="27F751B9"/>
    <w:rsid w:val="28013942"/>
    <w:rsid w:val="281408E2"/>
    <w:rsid w:val="28292E99"/>
    <w:rsid w:val="282D7E62"/>
    <w:rsid w:val="283D06F2"/>
    <w:rsid w:val="28497097"/>
    <w:rsid w:val="284E0B51"/>
    <w:rsid w:val="28610BF3"/>
    <w:rsid w:val="28612632"/>
    <w:rsid w:val="289742A6"/>
    <w:rsid w:val="289A78F2"/>
    <w:rsid w:val="289B1BE8"/>
    <w:rsid w:val="28A6098D"/>
    <w:rsid w:val="28AB7D51"/>
    <w:rsid w:val="28B5472C"/>
    <w:rsid w:val="28B9246E"/>
    <w:rsid w:val="28BC1F5F"/>
    <w:rsid w:val="28BE27A6"/>
    <w:rsid w:val="28C332ED"/>
    <w:rsid w:val="28CF1C92"/>
    <w:rsid w:val="28D15A0A"/>
    <w:rsid w:val="28DC7F0B"/>
    <w:rsid w:val="28FD0972"/>
    <w:rsid w:val="28FE60D3"/>
    <w:rsid w:val="290A0F1C"/>
    <w:rsid w:val="2912392D"/>
    <w:rsid w:val="293B2E83"/>
    <w:rsid w:val="2996630C"/>
    <w:rsid w:val="29C15A7E"/>
    <w:rsid w:val="29CE5AA6"/>
    <w:rsid w:val="29DC7AB2"/>
    <w:rsid w:val="29E03A2B"/>
    <w:rsid w:val="29FD04D3"/>
    <w:rsid w:val="2A13795C"/>
    <w:rsid w:val="2A151926"/>
    <w:rsid w:val="2A222295"/>
    <w:rsid w:val="2A224043"/>
    <w:rsid w:val="2A314286"/>
    <w:rsid w:val="2A4B359A"/>
    <w:rsid w:val="2A7C19A5"/>
    <w:rsid w:val="2A922F77"/>
    <w:rsid w:val="2A9F38E6"/>
    <w:rsid w:val="2AB8479E"/>
    <w:rsid w:val="2AD4533E"/>
    <w:rsid w:val="2AD96DF8"/>
    <w:rsid w:val="2AEF3F25"/>
    <w:rsid w:val="2AF05EF0"/>
    <w:rsid w:val="2B02634F"/>
    <w:rsid w:val="2B05199B"/>
    <w:rsid w:val="2B065713"/>
    <w:rsid w:val="2B116592"/>
    <w:rsid w:val="2B342280"/>
    <w:rsid w:val="2B4029D3"/>
    <w:rsid w:val="2B667F60"/>
    <w:rsid w:val="2B747352"/>
    <w:rsid w:val="2B7F799F"/>
    <w:rsid w:val="2B8762AD"/>
    <w:rsid w:val="2BDF043E"/>
    <w:rsid w:val="2BEF4305"/>
    <w:rsid w:val="2BF11F1F"/>
    <w:rsid w:val="2BF44DDC"/>
    <w:rsid w:val="2BFF7BC6"/>
    <w:rsid w:val="2C1B6F9C"/>
    <w:rsid w:val="2C2916B9"/>
    <w:rsid w:val="2C4B5AD3"/>
    <w:rsid w:val="2C5E2824"/>
    <w:rsid w:val="2C631C0F"/>
    <w:rsid w:val="2C793E3A"/>
    <w:rsid w:val="2C892158"/>
    <w:rsid w:val="2C8A61B5"/>
    <w:rsid w:val="2CA70830"/>
    <w:rsid w:val="2CB90C8F"/>
    <w:rsid w:val="2CBE44F7"/>
    <w:rsid w:val="2CD51D9D"/>
    <w:rsid w:val="2CF27CFD"/>
    <w:rsid w:val="2D197980"/>
    <w:rsid w:val="2D2D51D9"/>
    <w:rsid w:val="2D2E01CF"/>
    <w:rsid w:val="2D4349FC"/>
    <w:rsid w:val="2D463657"/>
    <w:rsid w:val="2D4A096F"/>
    <w:rsid w:val="2D6A1F89"/>
    <w:rsid w:val="2D7626DC"/>
    <w:rsid w:val="2D7E77E3"/>
    <w:rsid w:val="2D8F19F0"/>
    <w:rsid w:val="2D9B2143"/>
    <w:rsid w:val="2DDB69E3"/>
    <w:rsid w:val="2DDF4522"/>
    <w:rsid w:val="2DF04E50"/>
    <w:rsid w:val="2DFB52D7"/>
    <w:rsid w:val="2DFD2DFD"/>
    <w:rsid w:val="2DFE26D1"/>
    <w:rsid w:val="2E1D349F"/>
    <w:rsid w:val="2E204D3E"/>
    <w:rsid w:val="2E440A2C"/>
    <w:rsid w:val="2E461D04"/>
    <w:rsid w:val="2E505623"/>
    <w:rsid w:val="2E513149"/>
    <w:rsid w:val="2E56075F"/>
    <w:rsid w:val="2E755089"/>
    <w:rsid w:val="2E903C71"/>
    <w:rsid w:val="2E9545B0"/>
    <w:rsid w:val="2E976DAE"/>
    <w:rsid w:val="2E9C43C4"/>
    <w:rsid w:val="2EAC037F"/>
    <w:rsid w:val="2EBA6F40"/>
    <w:rsid w:val="2ED26038"/>
    <w:rsid w:val="2EEF6BEA"/>
    <w:rsid w:val="2F040D46"/>
    <w:rsid w:val="2F0D0E1E"/>
    <w:rsid w:val="2F1A353B"/>
    <w:rsid w:val="2F1F0B51"/>
    <w:rsid w:val="2F261EE0"/>
    <w:rsid w:val="2F37233F"/>
    <w:rsid w:val="2F397E65"/>
    <w:rsid w:val="2F3F60BE"/>
    <w:rsid w:val="2F462582"/>
    <w:rsid w:val="2F971030"/>
    <w:rsid w:val="2FAE5751"/>
    <w:rsid w:val="2FAF45CB"/>
    <w:rsid w:val="2FB1A395"/>
    <w:rsid w:val="2FB67708"/>
    <w:rsid w:val="2FC02334"/>
    <w:rsid w:val="2FD9A7D8"/>
    <w:rsid w:val="30055F99"/>
    <w:rsid w:val="300D4E4E"/>
    <w:rsid w:val="304E7940"/>
    <w:rsid w:val="304F36B8"/>
    <w:rsid w:val="30766E97"/>
    <w:rsid w:val="307B44AD"/>
    <w:rsid w:val="30EE1123"/>
    <w:rsid w:val="312B1CEB"/>
    <w:rsid w:val="31532D34"/>
    <w:rsid w:val="315947EF"/>
    <w:rsid w:val="316F5DC0"/>
    <w:rsid w:val="319B4E07"/>
    <w:rsid w:val="319F7F4E"/>
    <w:rsid w:val="31A517E2"/>
    <w:rsid w:val="31AA329C"/>
    <w:rsid w:val="31B22151"/>
    <w:rsid w:val="31B47C77"/>
    <w:rsid w:val="31BB1005"/>
    <w:rsid w:val="31CA56EC"/>
    <w:rsid w:val="31E85B72"/>
    <w:rsid w:val="31EF6F01"/>
    <w:rsid w:val="31FA7075"/>
    <w:rsid w:val="320F30FF"/>
    <w:rsid w:val="321150C9"/>
    <w:rsid w:val="321B2544"/>
    <w:rsid w:val="32313075"/>
    <w:rsid w:val="324234D5"/>
    <w:rsid w:val="327B69E7"/>
    <w:rsid w:val="32987598"/>
    <w:rsid w:val="329D070B"/>
    <w:rsid w:val="32A379BA"/>
    <w:rsid w:val="32A970B0"/>
    <w:rsid w:val="32AE0B6A"/>
    <w:rsid w:val="32AF043E"/>
    <w:rsid w:val="32F02F31"/>
    <w:rsid w:val="32FD73FC"/>
    <w:rsid w:val="32FF4F22"/>
    <w:rsid w:val="3304709D"/>
    <w:rsid w:val="33164B0C"/>
    <w:rsid w:val="3317670F"/>
    <w:rsid w:val="332350B4"/>
    <w:rsid w:val="33266952"/>
    <w:rsid w:val="333F2A42"/>
    <w:rsid w:val="33423060"/>
    <w:rsid w:val="33446DD8"/>
    <w:rsid w:val="33466FF4"/>
    <w:rsid w:val="337C3E29"/>
    <w:rsid w:val="339A4C4A"/>
    <w:rsid w:val="33E04D53"/>
    <w:rsid w:val="33E53D73"/>
    <w:rsid w:val="33E65956"/>
    <w:rsid w:val="34125129"/>
    <w:rsid w:val="341D42F2"/>
    <w:rsid w:val="34281836"/>
    <w:rsid w:val="342F6D70"/>
    <w:rsid w:val="346C65E7"/>
    <w:rsid w:val="347D25A2"/>
    <w:rsid w:val="347F3349"/>
    <w:rsid w:val="34853B4C"/>
    <w:rsid w:val="349D6851"/>
    <w:rsid w:val="34A2025B"/>
    <w:rsid w:val="34B85CD0"/>
    <w:rsid w:val="34C77CC1"/>
    <w:rsid w:val="34CE72A2"/>
    <w:rsid w:val="34E93222"/>
    <w:rsid w:val="34EE16F2"/>
    <w:rsid w:val="351F5D4F"/>
    <w:rsid w:val="356E45E1"/>
    <w:rsid w:val="35775243"/>
    <w:rsid w:val="357F234A"/>
    <w:rsid w:val="35A61FCC"/>
    <w:rsid w:val="35B90A30"/>
    <w:rsid w:val="35BA6CAF"/>
    <w:rsid w:val="35D37231"/>
    <w:rsid w:val="35E328D9"/>
    <w:rsid w:val="35EA010B"/>
    <w:rsid w:val="35ED19A9"/>
    <w:rsid w:val="361A2073"/>
    <w:rsid w:val="363B2715"/>
    <w:rsid w:val="364A0BAA"/>
    <w:rsid w:val="364D14C1"/>
    <w:rsid w:val="36502DAD"/>
    <w:rsid w:val="36527A5E"/>
    <w:rsid w:val="365E28A7"/>
    <w:rsid w:val="36604982"/>
    <w:rsid w:val="36806379"/>
    <w:rsid w:val="368A0F80"/>
    <w:rsid w:val="368F480F"/>
    <w:rsid w:val="36AA5135"/>
    <w:rsid w:val="36AC53C0"/>
    <w:rsid w:val="36BE0DA7"/>
    <w:rsid w:val="36D668E1"/>
    <w:rsid w:val="36F32FEF"/>
    <w:rsid w:val="36FE0EE8"/>
    <w:rsid w:val="37076E41"/>
    <w:rsid w:val="37293F7F"/>
    <w:rsid w:val="373B6744"/>
    <w:rsid w:val="37517D16"/>
    <w:rsid w:val="37585548"/>
    <w:rsid w:val="375A4E1C"/>
    <w:rsid w:val="375C6DE7"/>
    <w:rsid w:val="376B6AA6"/>
    <w:rsid w:val="376D39B2"/>
    <w:rsid w:val="37785D74"/>
    <w:rsid w:val="37824373"/>
    <w:rsid w:val="37887BDC"/>
    <w:rsid w:val="379540A7"/>
    <w:rsid w:val="37AB530B"/>
    <w:rsid w:val="37BE184F"/>
    <w:rsid w:val="37E16F03"/>
    <w:rsid w:val="37E82428"/>
    <w:rsid w:val="37F53A3B"/>
    <w:rsid w:val="38170F5F"/>
    <w:rsid w:val="382C4A0B"/>
    <w:rsid w:val="38415FDC"/>
    <w:rsid w:val="387B78CA"/>
    <w:rsid w:val="388E7474"/>
    <w:rsid w:val="38983E4E"/>
    <w:rsid w:val="389B6C89"/>
    <w:rsid w:val="38A26A7B"/>
    <w:rsid w:val="38B247E4"/>
    <w:rsid w:val="38C74B99"/>
    <w:rsid w:val="38D26C34"/>
    <w:rsid w:val="38D469F0"/>
    <w:rsid w:val="38D64977"/>
    <w:rsid w:val="38D8249D"/>
    <w:rsid w:val="38E15B76"/>
    <w:rsid w:val="38FD1F03"/>
    <w:rsid w:val="391C5191"/>
    <w:rsid w:val="39205F63"/>
    <w:rsid w:val="39382F3B"/>
    <w:rsid w:val="394418E0"/>
    <w:rsid w:val="39627CCD"/>
    <w:rsid w:val="397A79F8"/>
    <w:rsid w:val="397BAF1F"/>
    <w:rsid w:val="39812B34"/>
    <w:rsid w:val="398208E0"/>
    <w:rsid w:val="3986639D"/>
    <w:rsid w:val="39A14F85"/>
    <w:rsid w:val="39A46823"/>
    <w:rsid w:val="39C61FDA"/>
    <w:rsid w:val="3A0D261A"/>
    <w:rsid w:val="3A173499"/>
    <w:rsid w:val="3A2A31CC"/>
    <w:rsid w:val="3A3F6130"/>
    <w:rsid w:val="3A480BD6"/>
    <w:rsid w:val="3A5169AB"/>
    <w:rsid w:val="3A5B15D7"/>
    <w:rsid w:val="3A5E69D2"/>
    <w:rsid w:val="3A6F0BDF"/>
    <w:rsid w:val="3A7B57D6"/>
    <w:rsid w:val="3A880C39"/>
    <w:rsid w:val="3AB79AF3"/>
    <w:rsid w:val="3AE27603"/>
    <w:rsid w:val="3AF9494C"/>
    <w:rsid w:val="3AFD268F"/>
    <w:rsid w:val="3B135A0E"/>
    <w:rsid w:val="3B143534"/>
    <w:rsid w:val="3B293484"/>
    <w:rsid w:val="3B392F9B"/>
    <w:rsid w:val="3B464036"/>
    <w:rsid w:val="3B6049CB"/>
    <w:rsid w:val="3B6E0E96"/>
    <w:rsid w:val="3B7EF35A"/>
    <w:rsid w:val="3B862684"/>
    <w:rsid w:val="3B8C57C0"/>
    <w:rsid w:val="3B9FDB6C"/>
    <w:rsid w:val="3BA66882"/>
    <w:rsid w:val="3BA725FA"/>
    <w:rsid w:val="3BBC42F8"/>
    <w:rsid w:val="3BE35F62"/>
    <w:rsid w:val="3BF515B8"/>
    <w:rsid w:val="3BF5BC2F"/>
    <w:rsid w:val="3BFF1F97"/>
    <w:rsid w:val="3C1C08F2"/>
    <w:rsid w:val="3C1E0B0E"/>
    <w:rsid w:val="3C256456"/>
    <w:rsid w:val="3C29300F"/>
    <w:rsid w:val="3C3B7D4D"/>
    <w:rsid w:val="3C3F0A85"/>
    <w:rsid w:val="3C3F7143"/>
    <w:rsid w:val="3C502C92"/>
    <w:rsid w:val="3C6978B0"/>
    <w:rsid w:val="3C705F6F"/>
    <w:rsid w:val="3C8F7316"/>
    <w:rsid w:val="3CEBA265"/>
    <w:rsid w:val="3D007123"/>
    <w:rsid w:val="3D4D43A6"/>
    <w:rsid w:val="3D5D7415"/>
    <w:rsid w:val="3D69400B"/>
    <w:rsid w:val="3D736C38"/>
    <w:rsid w:val="3D804EB1"/>
    <w:rsid w:val="3D8F3346"/>
    <w:rsid w:val="3D915310"/>
    <w:rsid w:val="3D960B78"/>
    <w:rsid w:val="3D98207C"/>
    <w:rsid w:val="3D9B0D99"/>
    <w:rsid w:val="3DA70690"/>
    <w:rsid w:val="3DB37034"/>
    <w:rsid w:val="3DD05E38"/>
    <w:rsid w:val="3DD07BE6"/>
    <w:rsid w:val="3DDD74B1"/>
    <w:rsid w:val="3DDF370F"/>
    <w:rsid w:val="3DEE7CF3"/>
    <w:rsid w:val="3DF02244"/>
    <w:rsid w:val="3DFE0BF8"/>
    <w:rsid w:val="3E10092B"/>
    <w:rsid w:val="3E265A58"/>
    <w:rsid w:val="3E410AE4"/>
    <w:rsid w:val="3E6E73FF"/>
    <w:rsid w:val="3E78745D"/>
    <w:rsid w:val="3EBC58A4"/>
    <w:rsid w:val="3ECA6D2C"/>
    <w:rsid w:val="3EE6343A"/>
    <w:rsid w:val="3EF43DA9"/>
    <w:rsid w:val="3EF9316D"/>
    <w:rsid w:val="3F0538C0"/>
    <w:rsid w:val="3F1528D7"/>
    <w:rsid w:val="3F2F3033"/>
    <w:rsid w:val="3F4C14EF"/>
    <w:rsid w:val="3F577E93"/>
    <w:rsid w:val="3F5E7474"/>
    <w:rsid w:val="3F6902F3"/>
    <w:rsid w:val="3F7E18C4"/>
    <w:rsid w:val="3F984734"/>
    <w:rsid w:val="3FA26360"/>
    <w:rsid w:val="3FB62E0C"/>
    <w:rsid w:val="3FB672B0"/>
    <w:rsid w:val="3FE53D90"/>
    <w:rsid w:val="3FF4CAE0"/>
    <w:rsid w:val="3FF7B227"/>
    <w:rsid w:val="40026051"/>
    <w:rsid w:val="4004001B"/>
    <w:rsid w:val="4038621E"/>
    <w:rsid w:val="40493C80"/>
    <w:rsid w:val="40556AC9"/>
    <w:rsid w:val="40580367"/>
    <w:rsid w:val="407324F6"/>
    <w:rsid w:val="40776A3F"/>
    <w:rsid w:val="40925627"/>
    <w:rsid w:val="409F1AF2"/>
    <w:rsid w:val="40E54C45"/>
    <w:rsid w:val="40E85247"/>
    <w:rsid w:val="40EC2DAE"/>
    <w:rsid w:val="40F005A0"/>
    <w:rsid w:val="4101455B"/>
    <w:rsid w:val="41067DC3"/>
    <w:rsid w:val="41140732"/>
    <w:rsid w:val="412546ED"/>
    <w:rsid w:val="412F731A"/>
    <w:rsid w:val="41313393"/>
    <w:rsid w:val="418D5DEE"/>
    <w:rsid w:val="41BB295C"/>
    <w:rsid w:val="41BD2B78"/>
    <w:rsid w:val="41F1637D"/>
    <w:rsid w:val="42120775"/>
    <w:rsid w:val="423050F8"/>
    <w:rsid w:val="423906AC"/>
    <w:rsid w:val="4242307D"/>
    <w:rsid w:val="42424E2B"/>
    <w:rsid w:val="424741EF"/>
    <w:rsid w:val="425012F6"/>
    <w:rsid w:val="425A03C6"/>
    <w:rsid w:val="425F3C2F"/>
    <w:rsid w:val="427E2307"/>
    <w:rsid w:val="42876CE2"/>
    <w:rsid w:val="428A7C17"/>
    <w:rsid w:val="42AC04F6"/>
    <w:rsid w:val="42B41F8B"/>
    <w:rsid w:val="42B51AA1"/>
    <w:rsid w:val="42E61C5A"/>
    <w:rsid w:val="42FA5706"/>
    <w:rsid w:val="430B7913"/>
    <w:rsid w:val="433018E0"/>
    <w:rsid w:val="43317379"/>
    <w:rsid w:val="43452E25"/>
    <w:rsid w:val="43456981"/>
    <w:rsid w:val="43527B09"/>
    <w:rsid w:val="435C3CCA"/>
    <w:rsid w:val="43672D9B"/>
    <w:rsid w:val="436E5324"/>
    <w:rsid w:val="43A407DF"/>
    <w:rsid w:val="43AA712C"/>
    <w:rsid w:val="43B27D8E"/>
    <w:rsid w:val="43CD4BC8"/>
    <w:rsid w:val="43E066A9"/>
    <w:rsid w:val="43F62371"/>
    <w:rsid w:val="43FF1225"/>
    <w:rsid w:val="440A7BCA"/>
    <w:rsid w:val="44136A7F"/>
    <w:rsid w:val="44150A49"/>
    <w:rsid w:val="441A605F"/>
    <w:rsid w:val="441A7E0D"/>
    <w:rsid w:val="441F5424"/>
    <w:rsid w:val="44246EDE"/>
    <w:rsid w:val="44515BEA"/>
    <w:rsid w:val="44744EF5"/>
    <w:rsid w:val="44A8366B"/>
    <w:rsid w:val="44BD15A5"/>
    <w:rsid w:val="44C4421D"/>
    <w:rsid w:val="44D426B2"/>
    <w:rsid w:val="44E1092B"/>
    <w:rsid w:val="44E268DA"/>
    <w:rsid w:val="44F8123A"/>
    <w:rsid w:val="452847AC"/>
    <w:rsid w:val="453F7E5B"/>
    <w:rsid w:val="45566965"/>
    <w:rsid w:val="455E01CE"/>
    <w:rsid w:val="456D6663"/>
    <w:rsid w:val="45926BA9"/>
    <w:rsid w:val="45B85B30"/>
    <w:rsid w:val="45B95404"/>
    <w:rsid w:val="45C06792"/>
    <w:rsid w:val="45CC15DB"/>
    <w:rsid w:val="45CD7101"/>
    <w:rsid w:val="45CE5353"/>
    <w:rsid w:val="45DD5596"/>
    <w:rsid w:val="45DD7344"/>
    <w:rsid w:val="45FD55EE"/>
    <w:rsid w:val="460D6DA0"/>
    <w:rsid w:val="462E5DF2"/>
    <w:rsid w:val="465F41FD"/>
    <w:rsid w:val="468E6891"/>
    <w:rsid w:val="46AE0CE1"/>
    <w:rsid w:val="46C37884"/>
    <w:rsid w:val="46DC75FC"/>
    <w:rsid w:val="46EE37D3"/>
    <w:rsid w:val="47051BEE"/>
    <w:rsid w:val="47150D60"/>
    <w:rsid w:val="472E3BD0"/>
    <w:rsid w:val="47426CA3"/>
    <w:rsid w:val="474D04FA"/>
    <w:rsid w:val="47555600"/>
    <w:rsid w:val="475F3D89"/>
    <w:rsid w:val="477261B2"/>
    <w:rsid w:val="4783216D"/>
    <w:rsid w:val="478A52AA"/>
    <w:rsid w:val="479E2B03"/>
    <w:rsid w:val="47CB141F"/>
    <w:rsid w:val="47D15BA1"/>
    <w:rsid w:val="47D93B3C"/>
    <w:rsid w:val="47E10C42"/>
    <w:rsid w:val="47F869EB"/>
    <w:rsid w:val="480D7C89"/>
    <w:rsid w:val="482E032B"/>
    <w:rsid w:val="486378A9"/>
    <w:rsid w:val="486A6C7A"/>
    <w:rsid w:val="48853CC3"/>
    <w:rsid w:val="48A405ED"/>
    <w:rsid w:val="48B87BF5"/>
    <w:rsid w:val="48F6071D"/>
    <w:rsid w:val="490E3CB9"/>
    <w:rsid w:val="49176D9B"/>
    <w:rsid w:val="49180694"/>
    <w:rsid w:val="49382AE4"/>
    <w:rsid w:val="494006BD"/>
    <w:rsid w:val="494920D5"/>
    <w:rsid w:val="494B2817"/>
    <w:rsid w:val="495E69EE"/>
    <w:rsid w:val="4970227E"/>
    <w:rsid w:val="49777AB0"/>
    <w:rsid w:val="497C6E74"/>
    <w:rsid w:val="49BE56DF"/>
    <w:rsid w:val="49BF6D61"/>
    <w:rsid w:val="49C425C9"/>
    <w:rsid w:val="49CD5922"/>
    <w:rsid w:val="4A001853"/>
    <w:rsid w:val="4A272C3E"/>
    <w:rsid w:val="4A311421"/>
    <w:rsid w:val="4A437992"/>
    <w:rsid w:val="4A6242BC"/>
    <w:rsid w:val="4A627F82"/>
    <w:rsid w:val="4A9F6F2A"/>
    <w:rsid w:val="4AA77F21"/>
    <w:rsid w:val="4AA82E5E"/>
    <w:rsid w:val="4AAD305D"/>
    <w:rsid w:val="4AAF6DD6"/>
    <w:rsid w:val="4AB83EDC"/>
    <w:rsid w:val="4ABA1D88"/>
    <w:rsid w:val="4B0E749A"/>
    <w:rsid w:val="4B1E43F4"/>
    <w:rsid w:val="4B2E0642"/>
    <w:rsid w:val="4B3D2633"/>
    <w:rsid w:val="4B4F25DA"/>
    <w:rsid w:val="4B683D72"/>
    <w:rsid w:val="4B726781"/>
    <w:rsid w:val="4B7324F9"/>
    <w:rsid w:val="4B920BD1"/>
    <w:rsid w:val="4B944949"/>
    <w:rsid w:val="4BA53991"/>
    <w:rsid w:val="4BBE3774"/>
    <w:rsid w:val="4BD016F9"/>
    <w:rsid w:val="4BDA0CFB"/>
    <w:rsid w:val="4BE068DB"/>
    <w:rsid w:val="4BEE392E"/>
    <w:rsid w:val="4BFA22D2"/>
    <w:rsid w:val="4C0F5D7E"/>
    <w:rsid w:val="4C3C28EB"/>
    <w:rsid w:val="4C4023DB"/>
    <w:rsid w:val="4C4874E2"/>
    <w:rsid w:val="4C5E6D05"/>
    <w:rsid w:val="4C6A38FC"/>
    <w:rsid w:val="4C7067DD"/>
    <w:rsid w:val="4C761558"/>
    <w:rsid w:val="4C7B1665"/>
    <w:rsid w:val="4C7B6174"/>
    <w:rsid w:val="4C982217"/>
    <w:rsid w:val="4C9A1035"/>
    <w:rsid w:val="4CAD5597"/>
    <w:rsid w:val="4CC0176E"/>
    <w:rsid w:val="4CCC0113"/>
    <w:rsid w:val="4CD80866"/>
    <w:rsid w:val="4CE54D31"/>
    <w:rsid w:val="4CF82CB6"/>
    <w:rsid w:val="4D05056F"/>
    <w:rsid w:val="4D07114B"/>
    <w:rsid w:val="4D0F1DAD"/>
    <w:rsid w:val="4D204F17"/>
    <w:rsid w:val="4D3161C8"/>
    <w:rsid w:val="4D3C0CCC"/>
    <w:rsid w:val="4D3C2724"/>
    <w:rsid w:val="4D3C7046"/>
    <w:rsid w:val="4D550108"/>
    <w:rsid w:val="4D577224"/>
    <w:rsid w:val="4D5D520F"/>
    <w:rsid w:val="4D5E3185"/>
    <w:rsid w:val="4D720CBA"/>
    <w:rsid w:val="4D87448C"/>
    <w:rsid w:val="4D885774"/>
    <w:rsid w:val="4D9D560B"/>
    <w:rsid w:val="4DBF1CEB"/>
    <w:rsid w:val="4E077249"/>
    <w:rsid w:val="4E0F475B"/>
    <w:rsid w:val="4E261AA5"/>
    <w:rsid w:val="4E487C6D"/>
    <w:rsid w:val="4E600B13"/>
    <w:rsid w:val="4E6600F3"/>
    <w:rsid w:val="4E683E6B"/>
    <w:rsid w:val="4E6D3230"/>
    <w:rsid w:val="4E791834"/>
    <w:rsid w:val="4EA604F0"/>
    <w:rsid w:val="4EAB630A"/>
    <w:rsid w:val="4EB26E94"/>
    <w:rsid w:val="4EB3158A"/>
    <w:rsid w:val="4ECE2238"/>
    <w:rsid w:val="4EE94FAC"/>
    <w:rsid w:val="4EED611E"/>
    <w:rsid w:val="4F162174"/>
    <w:rsid w:val="4F22226C"/>
    <w:rsid w:val="4F61335F"/>
    <w:rsid w:val="4F6463E1"/>
    <w:rsid w:val="4F833267"/>
    <w:rsid w:val="4F8E7901"/>
    <w:rsid w:val="4F9273F2"/>
    <w:rsid w:val="4F9B4980"/>
    <w:rsid w:val="4FA113E3"/>
    <w:rsid w:val="4FAB400F"/>
    <w:rsid w:val="4FC11A85"/>
    <w:rsid w:val="4FD858A9"/>
    <w:rsid w:val="4FDA48F5"/>
    <w:rsid w:val="4FDF015D"/>
    <w:rsid w:val="4FDF1F0B"/>
    <w:rsid w:val="4FE15C83"/>
    <w:rsid w:val="4FE34F7E"/>
    <w:rsid w:val="4FE87B45"/>
    <w:rsid w:val="4FE9BD67"/>
    <w:rsid w:val="4FFB052F"/>
    <w:rsid w:val="50125E3D"/>
    <w:rsid w:val="50355FCF"/>
    <w:rsid w:val="50373AF5"/>
    <w:rsid w:val="504F7091"/>
    <w:rsid w:val="505C355C"/>
    <w:rsid w:val="505C7A00"/>
    <w:rsid w:val="506D5769"/>
    <w:rsid w:val="50AD3DB7"/>
    <w:rsid w:val="50AF18DD"/>
    <w:rsid w:val="50B27620"/>
    <w:rsid w:val="50B9275C"/>
    <w:rsid w:val="50C555A5"/>
    <w:rsid w:val="50D61560"/>
    <w:rsid w:val="50E13A61"/>
    <w:rsid w:val="50E27F05"/>
    <w:rsid w:val="50E35A2B"/>
    <w:rsid w:val="50E7376D"/>
    <w:rsid w:val="50F6575E"/>
    <w:rsid w:val="50F9524E"/>
    <w:rsid w:val="50FC089B"/>
    <w:rsid w:val="510A745C"/>
    <w:rsid w:val="510D4856"/>
    <w:rsid w:val="51416E8D"/>
    <w:rsid w:val="514C35D0"/>
    <w:rsid w:val="515B3813"/>
    <w:rsid w:val="519B00B4"/>
    <w:rsid w:val="51CD2963"/>
    <w:rsid w:val="51DD247A"/>
    <w:rsid w:val="51F6353C"/>
    <w:rsid w:val="520B5239"/>
    <w:rsid w:val="520F687F"/>
    <w:rsid w:val="522E2CD6"/>
    <w:rsid w:val="523621EC"/>
    <w:rsid w:val="52614E59"/>
    <w:rsid w:val="52750905"/>
    <w:rsid w:val="529E42FF"/>
    <w:rsid w:val="52A77E82"/>
    <w:rsid w:val="52AD009F"/>
    <w:rsid w:val="52AF2069"/>
    <w:rsid w:val="52BE22AC"/>
    <w:rsid w:val="52C27FEE"/>
    <w:rsid w:val="52C35B14"/>
    <w:rsid w:val="52D97D64"/>
    <w:rsid w:val="52E33975"/>
    <w:rsid w:val="52E361B6"/>
    <w:rsid w:val="53057EDB"/>
    <w:rsid w:val="53083A92"/>
    <w:rsid w:val="53253728"/>
    <w:rsid w:val="53281E1B"/>
    <w:rsid w:val="532D11DF"/>
    <w:rsid w:val="534F1156"/>
    <w:rsid w:val="535906C7"/>
    <w:rsid w:val="5359464E"/>
    <w:rsid w:val="53620E89"/>
    <w:rsid w:val="536A5F90"/>
    <w:rsid w:val="536F7A4A"/>
    <w:rsid w:val="53722A3B"/>
    <w:rsid w:val="537E6D0A"/>
    <w:rsid w:val="538F3C48"/>
    <w:rsid w:val="53A616BE"/>
    <w:rsid w:val="53AF27A2"/>
    <w:rsid w:val="53D578AD"/>
    <w:rsid w:val="53E67D0C"/>
    <w:rsid w:val="53F32429"/>
    <w:rsid w:val="53F73CC7"/>
    <w:rsid w:val="53F74C96"/>
    <w:rsid w:val="53FD5056"/>
    <w:rsid w:val="540939FA"/>
    <w:rsid w:val="543640C4"/>
    <w:rsid w:val="54493DF7"/>
    <w:rsid w:val="54554E92"/>
    <w:rsid w:val="546E385E"/>
    <w:rsid w:val="54840BF1"/>
    <w:rsid w:val="54844B07"/>
    <w:rsid w:val="548E573D"/>
    <w:rsid w:val="54931516"/>
    <w:rsid w:val="549A28A4"/>
    <w:rsid w:val="54E3249D"/>
    <w:rsid w:val="54EB1B0B"/>
    <w:rsid w:val="54F63F7F"/>
    <w:rsid w:val="550146D2"/>
    <w:rsid w:val="55180399"/>
    <w:rsid w:val="55453CB8"/>
    <w:rsid w:val="555B0286"/>
    <w:rsid w:val="557355CF"/>
    <w:rsid w:val="557E3F74"/>
    <w:rsid w:val="558F6181"/>
    <w:rsid w:val="559B68D4"/>
    <w:rsid w:val="55A0038E"/>
    <w:rsid w:val="55A35789"/>
    <w:rsid w:val="55AD05A3"/>
    <w:rsid w:val="55D1679A"/>
    <w:rsid w:val="55E738C7"/>
    <w:rsid w:val="561A1EEF"/>
    <w:rsid w:val="563034C0"/>
    <w:rsid w:val="5632548A"/>
    <w:rsid w:val="563F3703"/>
    <w:rsid w:val="56400843"/>
    <w:rsid w:val="56682C5A"/>
    <w:rsid w:val="56754367"/>
    <w:rsid w:val="56A1616C"/>
    <w:rsid w:val="56AD4B11"/>
    <w:rsid w:val="56C854A7"/>
    <w:rsid w:val="56D025AE"/>
    <w:rsid w:val="56D55E16"/>
    <w:rsid w:val="56E47B74"/>
    <w:rsid w:val="56E90D97"/>
    <w:rsid w:val="56FE35BF"/>
    <w:rsid w:val="570113C7"/>
    <w:rsid w:val="570B7A8A"/>
    <w:rsid w:val="5712706A"/>
    <w:rsid w:val="57127095"/>
    <w:rsid w:val="571407D2"/>
    <w:rsid w:val="571903F8"/>
    <w:rsid w:val="571921A6"/>
    <w:rsid w:val="57452F9B"/>
    <w:rsid w:val="57465EFE"/>
    <w:rsid w:val="57713D91"/>
    <w:rsid w:val="578735B4"/>
    <w:rsid w:val="57917F8F"/>
    <w:rsid w:val="57A06424"/>
    <w:rsid w:val="57BD3DD4"/>
    <w:rsid w:val="57F86260"/>
    <w:rsid w:val="58247055"/>
    <w:rsid w:val="582E1C82"/>
    <w:rsid w:val="583C439E"/>
    <w:rsid w:val="58443253"/>
    <w:rsid w:val="58507E4A"/>
    <w:rsid w:val="587D49B7"/>
    <w:rsid w:val="58810003"/>
    <w:rsid w:val="589F0489"/>
    <w:rsid w:val="58B32187"/>
    <w:rsid w:val="58B71C77"/>
    <w:rsid w:val="58EF700E"/>
    <w:rsid w:val="58F713D3"/>
    <w:rsid w:val="58F85DEC"/>
    <w:rsid w:val="590B3D71"/>
    <w:rsid w:val="591B7ABC"/>
    <w:rsid w:val="59205A6E"/>
    <w:rsid w:val="593F3A1A"/>
    <w:rsid w:val="5954396A"/>
    <w:rsid w:val="598002BB"/>
    <w:rsid w:val="59927FEE"/>
    <w:rsid w:val="59AC7302"/>
    <w:rsid w:val="59AD307A"/>
    <w:rsid w:val="59B14918"/>
    <w:rsid w:val="59B9557B"/>
    <w:rsid w:val="59BD150F"/>
    <w:rsid w:val="59C07D51"/>
    <w:rsid w:val="59C4289D"/>
    <w:rsid w:val="59CD1026"/>
    <w:rsid w:val="59D26D36"/>
    <w:rsid w:val="59DF76D7"/>
    <w:rsid w:val="5A0A04CC"/>
    <w:rsid w:val="5A407A4A"/>
    <w:rsid w:val="5A4A08C9"/>
    <w:rsid w:val="5A584D94"/>
    <w:rsid w:val="5A6E2809"/>
    <w:rsid w:val="5A7A7400"/>
    <w:rsid w:val="5AA1498D"/>
    <w:rsid w:val="5AE96334"/>
    <w:rsid w:val="5AF745AD"/>
    <w:rsid w:val="5AF92295"/>
    <w:rsid w:val="5B073095"/>
    <w:rsid w:val="5B172EA1"/>
    <w:rsid w:val="5B24736C"/>
    <w:rsid w:val="5B265612"/>
    <w:rsid w:val="5B433C96"/>
    <w:rsid w:val="5B48305A"/>
    <w:rsid w:val="5B5A4B3C"/>
    <w:rsid w:val="5B5C0A66"/>
    <w:rsid w:val="5B7C71A8"/>
    <w:rsid w:val="5BB97AB4"/>
    <w:rsid w:val="5BC22E0D"/>
    <w:rsid w:val="5BC70423"/>
    <w:rsid w:val="5BDD79E6"/>
    <w:rsid w:val="5BF561CA"/>
    <w:rsid w:val="5BFF5DFC"/>
    <w:rsid w:val="5C0C052C"/>
    <w:rsid w:val="5C2F7D76"/>
    <w:rsid w:val="5C381321"/>
    <w:rsid w:val="5C471564"/>
    <w:rsid w:val="5C6C4B26"/>
    <w:rsid w:val="5C763BF7"/>
    <w:rsid w:val="5C9127DF"/>
    <w:rsid w:val="5CA442C0"/>
    <w:rsid w:val="5CB70498"/>
    <w:rsid w:val="5CB85FBE"/>
    <w:rsid w:val="5CD71FC4"/>
    <w:rsid w:val="5CDA5F34"/>
    <w:rsid w:val="5CF35248"/>
    <w:rsid w:val="5CF36FF6"/>
    <w:rsid w:val="5D01456F"/>
    <w:rsid w:val="5D1A6C78"/>
    <w:rsid w:val="5D1E0517"/>
    <w:rsid w:val="5D1F11B5"/>
    <w:rsid w:val="5D3513BC"/>
    <w:rsid w:val="5D600B2F"/>
    <w:rsid w:val="5D6121B1"/>
    <w:rsid w:val="5D683540"/>
    <w:rsid w:val="5D6879E4"/>
    <w:rsid w:val="5D6A0443"/>
    <w:rsid w:val="5D7874FB"/>
    <w:rsid w:val="5D8440F2"/>
    <w:rsid w:val="5D8D744A"/>
    <w:rsid w:val="5D902A97"/>
    <w:rsid w:val="5D997B9D"/>
    <w:rsid w:val="5D9E1657"/>
    <w:rsid w:val="5DA052A8"/>
    <w:rsid w:val="5DAA3B58"/>
    <w:rsid w:val="5DAD189A"/>
    <w:rsid w:val="5DAE1B18"/>
    <w:rsid w:val="5DD60DF1"/>
    <w:rsid w:val="5DE30E18"/>
    <w:rsid w:val="5DE7D9E5"/>
    <w:rsid w:val="5DF52041"/>
    <w:rsid w:val="5DFE3EA4"/>
    <w:rsid w:val="5E116B14"/>
    <w:rsid w:val="5E176D14"/>
    <w:rsid w:val="5E413D91"/>
    <w:rsid w:val="5E696F05"/>
    <w:rsid w:val="5E824AD5"/>
    <w:rsid w:val="5EAC3900"/>
    <w:rsid w:val="5ECB5E31"/>
    <w:rsid w:val="5ECEC941"/>
    <w:rsid w:val="5ED13367"/>
    <w:rsid w:val="5ED35331"/>
    <w:rsid w:val="5EE50BC0"/>
    <w:rsid w:val="5EF01A3F"/>
    <w:rsid w:val="5EF07C91"/>
    <w:rsid w:val="5EFD0600"/>
    <w:rsid w:val="5F001FC2"/>
    <w:rsid w:val="5F025C16"/>
    <w:rsid w:val="5F225970"/>
    <w:rsid w:val="5F493CB7"/>
    <w:rsid w:val="5F5244A8"/>
    <w:rsid w:val="5F571ABE"/>
    <w:rsid w:val="5F661D01"/>
    <w:rsid w:val="5F926F9A"/>
    <w:rsid w:val="5F954394"/>
    <w:rsid w:val="5F9E593F"/>
    <w:rsid w:val="5FB92779"/>
    <w:rsid w:val="5FBE1B3D"/>
    <w:rsid w:val="5FBF9FF3"/>
    <w:rsid w:val="5FC46AE0"/>
    <w:rsid w:val="5FC609F2"/>
    <w:rsid w:val="5FCD4E2C"/>
    <w:rsid w:val="5FD0250C"/>
    <w:rsid w:val="5FD15F49"/>
    <w:rsid w:val="5FEF394A"/>
    <w:rsid w:val="5FF217E7"/>
    <w:rsid w:val="5FF67715"/>
    <w:rsid w:val="60030297"/>
    <w:rsid w:val="601D2D07"/>
    <w:rsid w:val="603D6F06"/>
    <w:rsid w:val="60545FFD"/>
    <w:rsid w:val="60591866"/>
    <w:rsid w:val="606F4BE5"/>
    <w:rsid w:val="60791F08"/>
    <w:rsid w:val="608F34D9"/>
    <w:rsid w:val="60996106"/>
    <w:rsid w:val="609B3C2C"/>
    <w:rsid w:val="60AC408B"/>
    <w:rsid w:val="60B42F40"/>
    <w:rsid w:val="60B60A66"/>
    <w:rsid w:val="60D33507"/>
    <w:rsid w:val="60D3786A"/>
    <w:rsid w:val="60D64C64"/>
    <w:rsid w:val="60DD0FD5"/>
    <w:rsid w:val="60EC041D"/>
    <w:rsid w:val="611413BC"/>
    <w:rsid w:val="611C0698"/>
    <w:rsid w:val="614918DA"/>
    <w:rsid w:val="6151078F"/>
    <w:rsid w:val="615F2EAC"/>
    <w:rsid w:val="61682339"/>
    <w:rsid w:val="61AE798F"/>
    <w:rsid w:val="61DB6EE5"/>
    <w:rsid w:val="61E82E71"/>
    <w:rsid w:val="61F71336"/>
    <w:rsid w:val="61FE26C5"/>
    <w:rsid w:val="620A72BB"/>
    <w:rsid w:val="6211064A"/>
    <w:rsid w:val="62284BA4"/>
    <w:rsid w:val="62370CCE"/>
    <w:rsid w:val="624A76B8"/>
    <w:rsid w:val="62874F78"/>
    <w:rsid w:val="629628FD"/>
    <w:rsid w:val="62AA0FF0"/>
    <w:rsid w:val="62BF3928"/>
    <w:rsid w:val="62FD297C"/>
    <w:rsid w:val="630A6E47"/>
    <w:rsid w:val="6310591B"/>
    <w:rsid w:val="63161C90"/>
    <w:rsid w:val="631E5E6D"/>
    <w:rsid w:val="63464323"/>
    <w:rsid w:val="635835FF"/>
    <w:rsid w:val="637F7835"/>
    <w:rsid w:val="63A36518"/>
    <w:rsid w:val="63AB062A"/>
    <w:rsid w:val="63AD6150"/>
    <w:rsid w:val="63B514A9"/>
    <w:rsid w:val="63E15DFA"/>
    <w:rsid w:val="63FA510E"/>
    <w:rsid w:val="64033FC2"/>
    <w:rsid w:val="640F3AB9"/>
    <w:rsid w:val="641431CC"/>
    <w:rsid w:val="64283A29"/>
    <w:rsid w:val="642F3009"/>
    <w:rsid w:val="64406FC4"/>
    <w:rsid w:val="64590086"/>
    <w:rsid w:val="64591E34"/>
    <w:rsid w:val="64664551"/>
    <w:rsid w:val="647F5392"/>
    <w:rsid w:val="64A0024F"/>
    <w:rsid w:val="64A84B6A"/>
    <w:rsid w:val="64B96D77"/>
    <w:rsid w:val="64C41608"/>
    <w:rsid w:val="64CC2606"/>
    <w:rsid w:val="64CE09BD"/>
    <w:rsid w:val="64D140C0"/>
    <w:rsid w:val="64D94D23"/>
    <w:rsid w:val="64E624DB"/>
    <w:rsid w:val="64F25DE5"/>
    <w:rsid w:val="64FB738F"/>
    <w:rsid w:val="65377536"/>
    <w:rsid w:val="65440D49"/>
    <w:rsid w:val="654E25D6"/>
    <w:rsid w:val="655F791E"/>
    <w:rsid w:val="65607A7B"/>
    <w:rsid w:val="65695A9D"/>
    <w:rsid w:val="659A2704"/>
    <w:rsid w:val="65CD58D8"/>
    <w:rsid w:val="65D06126"/>
    <w:rsid w:val="65EE2A50"/>
    <w:rsid w:val="66157FDD"/>
    <w:rsid w:val="662234A0"/>
    <w:rsid w:val="66430FEE"/>
    <w:rsid w:val="664B1D71"/>
    <w:rsid w:val="66570AE7"/>
    <w:rsid w:val="66592B33"/>
    <w:rsid w:val="669B4986"/>
    <w:rsid w:val="669C425A"/>
    <w:rsid w:val="66A01E6F"/>
    <w:rsid w:val="66A01F9C"/>
    <w:rsid w:val="66BE2423"/>
    <w:rsid w:val="66CA0DC7"/>
    <w:rsid w:val="66E520A5"/>
    <w:rsid w:val="66E77BCB"/>
    <w:rsid w:val="66F26570"/>
    <w:rsid w:val="67220C03"/>
    <w:rsid w:val="672A5D0A"/>
    <w:rsid w:val="676254A4"/>
    <w:rsid w:val="67AA3209"/>
    <w:rsid w:val="67B57CC9"/>
    <w:rsid w:val="67C779FD"/>
    <w:rsid w:val="67E81E4D"/>
    <w:rsid w:val="68014CBD"/>
    <w:rsid w:val="680B78E9"/>
    <w:rsid w:val="68152516"/>
    <w:rsid w:val="681C4F0D"/>
    <w:rsid w:val="6821710D"/>
    <w:rsid w:val="683E0616"/>
    <w:rsid w:val="684B5F38"/>
    <w:rsid w:val="68570D81"/>
    <w:rsid w:val="685F19E3"/>
    <w:rsid w:val="686D5EAE"/>
    <w:rsid w:val="6884144A"/>
    <w:rsid w:val="68996CA3"/>
    <w:rsid w:val="68AD274F"/>
    <w:rsid w:val="68C006D4"/>
    <w:rsid w:val="68ED6FEF"/>
    <w:rsid w:val="69046D0F"/>
    <w:rsid w:val="6908207B"/>
    <w:rsid w:val="69104359"/>
    <w:rsid w:val="69126A56"/>
    <w:rsid w:val="691D5B26"/>
    <w:rsid w:val="69236EB5"/>
    <w:rsid w:val="69286279"/>
    <w:rsid w:val="692F7608"/>
    <w:rsid w:val="6931512E"/>
    <w:rsid w:val="69586B5E"/>
    <w:rsid w:val="695D5F23"/>
    <w:rsid w:val="695E1C9B"/>
    <w:rsid w:val="69603C65"/>
    <w:rsid w:val="69635503"/>
    <w:rsid w:val="6971708A"/>
    <w:rsid w:val="698A0CE2"/>
    <w:rsid w:val="698D0931"/>
    <w:rsid w:val="69942891"/>
    <w:rsid w:val="6A1A2066"/>
    <w:rsid w:val="6A3F387A"/>
    <w:rsid w:val="6A4D243B"/>
    <w:rsid w:val="6A546CBE"/>
    <w:rsid w:val="6A58493C"/>
    <w:rsid w:val="6A6B28C1"/>
    <w:rsid w:val="6A7A0D56"/>
    <w:rsid w:val="6A993CED"/>
    <w:rsid w:val="6AA918F8"/>
    <w:rsid w:val="6AFB3C45"/>
    <w:rsid w:val="6B053271"/>
    <w:rsid w:val="6B0D5727"/>
    <w:rsid w:val="6B26477A"/>
    <w:rsid w:val="6B4849B1"/>
    <w:rsid w:val="6B4F21E3"/>
    <w:rsid w:val="6B557B0C"/>
    <w:rsid w:val="6B623CC4"/>
    <w:rsid w:val="6B6F1F3D"/>
    <w:rsid w:val="6B7C57FF"/>
    <w:rsid w:val="6B87372B"/>
    <w:rsid w:val="6B8E2D0B"/>
    <w:rsid w:val="6BA50055"/>
    <w:rsid w:val="6BA8544F"/>
    <w:rsid w:val="6BBD0EFB"/>
    <w:rsid w:val="6BCE6674"/>
    <w:rsid w:val="6BCF204C"/>
    <w:rsid w:val="6BD10E4A"/>
    <w:rsid w:val="6BD66460"/>
    <w:rsid w:val="6C1B4DB5"/>
    <w:rsid w:val="6C1F57A6"/>
    <w:rsid w:val="6C262F44"/>
    <w:rsid w:val="6C4A05C8"/>
    <w:rsid w:val="6C4C513F"/>
    <w:rsid w:val="6C5C4BB7"/>
    <w:rsid w:val="6C6C6979"/>
    <w:rsid w:val="6C8742B8"/>
    <w:rsid w:val="6C8A170F"/>
    <w:rsid w:val="6C8C3392"/>
    <w:rsid w:val="6CAE4CE7"/>
    <w:rsid w:val="6CB54609"/>
    <w:rsid w:val="6CD24E7A"/>
    <w:rsid w:val="6CD52274"/>
    <w:rsid w:val="6D090170"/>
    <w:rsid w:val="6D0A4613"/>
    <w:rsid w:val="6D0E5F35"/>
    <w:rsid w:val="6D2531FB"/>
    <w:rsid w:val="6D7112BD"/>
    <w:rsid w:val="6D785A21"/>
    <w:rsid w:val="6D800432"/>
    <w:rsid w:val="6D8A7502"/>
    <w:rsid w:val="6D8C5028"/>
    <w:rsid w:val="6D9B34BE"/>
    <w:rsid w:val="6DAA54AF"/>
    <w:rsid w:val="6DBF5E93"/>
    <w:rsid w:val="6DE36C13"/>
    <w:rsid w:val="6DF42BCE"/>
    <w:rsid w:val="6DF66946"/>
    <w:rsid w:val="6DF80910"/>
    <w:rsid w:val="6DFF077E"/>
    <w:rsid w:val="6E02353D"/>
    <w:rsid w:val="6E292E16"/>
    <w:rsid w:val="6E313E22"/>
    <w:rsid w:val="6E4E7458"/>
    <w:rsid w:val="6E5B2C4D"/>
    <w:rsid w:val="6E777A87"/>
    <w:rsid w:val="6E7E3605"/>
    <w:rsid w:val="6E7FDCC7"/>
    <w:rsid w:val="6E82642B"/>
    <w:rsid w:val="6E85656F"/>
    <w:rsid w:val="6E8B52E0"/>
    <w:rsid w:val="6EA36ACE"/>
    <w:rsid w:val="6EBE0FAE"/>
    <w:rsid w:val="6ED6A62E"/>
    <w:rsid w:val="6EE00B15"/>
    <w:rsid w:val="6F347726"/>
    <w:rsid w:val="6F544B20"/>
    <w:rsid w:val="6F6D2C38"/>
    <w:rsid w:val="6F6FB3EB"/>
    <w:rsid w:val="6F784160"/>
    <w:rsid w:val="6F7C731F"/>
    <w:rsid w:val="6F84055F"/>
    <w:rsid w:val="6F8731EA"/>
    <w:rsid w:val="6FBE3493"/>
    <w:rsid w:val="6FCE6052"/>
    <w:rsid w:val="6FD1766A"/>
    <w:rsid w:val="6FD57C00"/>
    <w:rsid w:val="6FE23626"/>
    <w:rsid w:val="6FEFFFD8"/>
    <w:rsid w:val="6FF5CC65"/>
    <w:rsid w:val="6FFB47EC"/>
    <w:rsid w:val="6FFF034A"/>
    <w:rsid w:val="7003534A"/>
    <w:rsid w:val="700355B0"/>
    <w:rsid w:val="70076BE8"/>
    <w:rsid w:val="703A0DBD"/>
    <w:rsid w:val="703B0F88"/>
    <w:rsid w:val="70496804"/>
    <w:rsid w:val="70780901"/>
    <w:rsid w:val="70787AE6"/>
    <w:rsid w:val="70853FB1"/>
    <w:rsid w:val="70C8102F"/>
    <w:rsid w:val="70F21646"/>
    <w:rsid w:val="70F27898"/>
    <w:rsid w:val="70FC4273"/>
    <w:rsid w:val="712A28F1"/>
    <w:rsid w:val="71445C1A"/>
    <w:rsid w:val="714D0F73"/>
    <w:rsid w:val="715C0E4B"/>
    <w:rsid w:val="716D7382"/>
    <w:rsid w:val="71834994"/>
    <w:rsid w:val="71893DE9"/>
    <w:rsid w:val="71B927E7"/>
    <w:rsid w:val="71F94C57"/>
    <w:rsid w:val="720535FB"/>
    <w:rsid w:val="720C2BDC"/>
    <w:rsid w:val="72233669"/>
    <w:rsid w:val="722E2B52"/>
    <w:rsid w:val="72734D90"/>
    <w:rsid w:val="72834520"/>
    <w:rsid w:val="728409C4"/>
    <w:rsid w:val="728C1627"/>
    <w:rsid w:val="728E539F"/>
    <w:rsid w:val="729130E1"/>
    <w:rsid w:val="72B07BEC"/>
    <w:rsid w:val="72BC63B0"/>
    <w:rsid w:val="72CC510C"/>
    <w:rsid w:val="72E33128"/>
    <w:rsid w:val="7318735E"/>
    <w:rsid w:val="7332FE48"/>
    <w:rsid w:val="733A1083"/>
    <w:rsid w:val="73530396"/>
    <w:rsid w:val="735D3FB1"/>
    <w:rsid w:val="736C3AB2"/>
    <w:rsid w:val="738243A5"/>
    <w:rsid w:val="7386076C"/>
    <w:rsid w:val="738B5D82"/>
    <w:rsid w:val="73A3131E"/>
    <w:rsid w:val="73AB61DA"/>
    <w:rsid w:val="73AD73D5"/>
    <w:rsid w:val="73B6EB34"/>
    <w:rsid w:val="73DC65DE"/>
    <w:rsid w:val="73EA2AA9"/>
    <w:rsid w:val="73FA497D"/>
    <w:rsid w:val="740873D3"/>
    <w:rsid w:val="740F1765"/>
    <w:rsid w:val="741E4551"/>
    <w:rsid w:val="742D6E39"/>
    <w:rsid w:val="743D52CE"/>
    <w:rsid w:val="74404DBF"/>
    <w:rsid w:val="744731E5"/>
    <w:rsid w:val="74527205"/>
    <w:rsid w:val="745A5E80"/>
    <w:rsid w:val="74690259"/>
    <w:rsid w:val="746A3800"/>
    <w:rsid w:val="748C1DB2"/>
    <w:rsid w:val="748D6B9A"/>
    <w:rsid w:val="749649DF"/>
    <w:rsid w:val="74982505"/>
    <w:rsid w:val="74BBD01D"/>
    <w:rsid w:val="74C50E20"/>
    <w:rsid w:val="74ED5379"/>
    <w:rsid w:val="74FC2395"/>
    <w:rsid w:val="75466405"/>
    <w:rsid w:val="755521A4"/>
    <w:rsid w:val="75644ADD"/>
    <w:rsid w:val="757F4DA8"/>
    <w:rsid w:val="75AD0232"/>
    <w:rsid w:val="75AD3D8E"/>
    <w:rsid w:val="75BE243F"/>
    <w:rsid w:val="75DEEEC2"/>
    <w:rsid w:val="75E83018"/>
    <w:rsid w:val="75EB0D5A"/>
    <w:rsid w:val="75EB48B6"/>
    <w:rsid w:val="760D0CD1"/>
    <w:rsid w:val="7610431D"/>
    <w:rsid w:val="7614205F"/>
    <w:rsid w:val="76164029"/>
    <w:rsid w:val="76165DD7"/>
    <w:rsid w:val="76312C11"/>
    <w:rsid w:val="76515061"/>
    <w:rsid w:val="76604F4D"/>
    <w:rsid w:val="76654669"/>
    <w:rsid w:val="76746FA2"/>
    <w:rsid w:val="768F5B89"/>
    <w:rsid w:val="769F401E"/>
    <w:rsid w:val="76A258BD"/>
    <w:rsid w:val="76A2766B"/>
    <w:rsid w:val="76A35191"/>
    <w:rsid w:val="76AD7DBE"/>
    <w:rsid w:val="76AE24B4"/>
    <w:rsid w:val="76DF266D"/>
    <w:rsid w:val="76E3355F"/>
    <w:rsid w:val="76EE0498"/>
    <w:rsid w:val="76EF6628"/>
    <w:rsid w:val="76FD6F97"/>
    <w:rsid w:val="76FF5125"/>
    <w:rsid w:val="77154C42"/>
    <w:rsid w:val="774845B8"/>
    <w:rsid w:val="775748F9"/>
    <w:rsid w:val="776F6FFA"/>
    <w:rsid w:val="77762DFA"/>
    <w:rsid w:val="778769C8"/>
    <w:rsid w:val="77884AB3"/>
    <w:rsid w:val="77955421"/>
    <w:rsid w:val="77A86F03"/>
    <w:rsid w:val="77A92C7B"/>
    <w:rsid w:val="77C90C27"/>
    <w:rsid w:val="77CB0E43"/>
    <w:rsid w:val="77CD4BBB"/>
    <w:rsid w:val="77DA4423"/>
    <w:rsid w:val="77DC22F5"/>
    <w:rsid w:val="77EA017F"/>
    <w:rsid w:val="77F24622"/>
    <w:rsid w:val="77F57C6E"/>
    <w:rsid w:val="780E314F"/>
    <w:rsid w:val="78250553"/>
    <w:rsid w:val="78412EB3"/>
    <w:rsid w:val="784E3A38"/>
    <w:rsid w:val="785901FD"/>
    <w:rsid w:val="786A240A"/>
    <w:rsid w:val="786D5A56"/>
    <w:rsid w:val="78CF6711"/>
    <w:rsid w:val="78DB3308"/>
    <w:rsid w:val="78E201F2"/>
    <w:rsid w:val="78F9378E"/>
    <w:rsid w:val="78FB3D31"/>
    <w:rsid w:val="79086DAD"/>
    <w:rsid w:val="790C0167"/>
    <w:rsid w:val="792C76C0"/>
    <w:rsid w:val="792F71B0"/>
    <w:rsid w:val="7931117A"/>
    <w:rsid w:val="79346574"/>
    <w:rsid w:val="794A5D98"/>
    <w:rsid w:val="795E2449"/>
    <w:rsid w:val="796F7812"/>
    <w:rsid w:val="79865022"/>
    <w:rsid w:val="798759BE"/>
    <w:rsid w:val="799040F2"/>
    <w:rsid w:val="79974F09"/>
    <w:rsid w:val="79A74FA7"/>
    <w:rsid w:val="79AE6327"/>
    <w:rsid w:val="79C21DD2"/>
    <w:rsid w:val="79D7FD79"/>
    <w:rsid w:val="79EE5BA4"/>
    <w:rsid w:val="79FF4DD4"/>
    <w:rsid w:val="7A122D59"/>
    <w:rsid w:val="7A266805"/>
    <w:rsid w:val="7A3E3B4E"/>
    <w:rsid w:val="7A5C5D83"/>
    <w:rsid w:val="7A8552D9"/>
    <w:rsid w:val="7A894339"/>
    <w:rsid w:val="7A8D418E"/>
    <w:rsid w:val="7A965738"/>
    <w:rsid w:val="7A990D85"/>
    <w:rsid w:val="7AAC7EE0"/>
    <w:rsid w:val="7AB160CE"/>
    <w:rsid w:val="7ACA7190"/>
    <w:rsid w:val="7AD4000F"/>
    <w:rsid w:val="7AD87AFF"/>
    <w:rsid w:val="7AD95625"/>
    <w:rsid w:val="7AF366E7"/>
    <w:rsid w:val="7AF95CC7"/>
    <w:rsid w:val="7AFF7572"/>
    <w:rsid w:val="7B2F3497"/>
    <w:rsid w:val="7B315461"/>
    <w:rsid w:val="7B3A2568"/>
    <w:rsid w:val="7B6C7DFB"/>
    <w:rsid w:val="7B7315D6"/>
    <w:rsid w:val="7B7B492E"/>
    <w:rsid w:val="7B7F61CD"/>
    <w:rsid w:val="7B803CF3"/>
    <w:rsid w:val="7B954283"/>
    <w:rsid w:val="7BAE4943"/>
    <w:rsid w:val="7BBC11CF"/>
    <w:rsid w:val="7BBFBED0"/>
    <w:rsid w:val="7BC3E394"/>
    <w:rsid w:val="7C0E12FE"/>
    <w:rsid w:val="7C1F3737"/>
    <w:rsid w:val="7C2E374F"/>
    <w:rsid w:val="7C3B5358"/>
    <w:rsid w:val="7CAF4890"/>
    <w:rsid w:val="7CBFC87B"/>
    <w:rsid w:val="7CE0713F"/>
    <w:rsid w:val="7CFE0F48"/>
    <w:rsid w:val="7D103724"/>
    <w:rsid w:val="7D1564DB"/>
    <w:rsid w:val="7D167B79"/>
    <w:rsid w:val="7D2746F3"/>
    <w:rsid w:val="7D2E6F3D"/>
    <w:rsid w:val="7D311748"/>
    <w:rsid w:val="7D4C6582"/>
    <w:rsid w:val="7D605B8A"/>
    <w:rsid w:val="7D657644"/>
    <w:rsid w:val="7D690EE2"/>
    <w:rsid w:val="7D7EC23E"/>
    <w:rsid w:val="7D7F721D"/>
    <w:rsid w:val="7D8B495A"/>
    <w:rsid w:val="7D8F646F"/>
    <w:rsid w:val="7D916348"/>
    <w:rsid w:val="7D977189"/>
    <w:rsid w:val="7DB52379"/>
    <w:rsid w:val="7DCB56F9"/>
    <w:rsid w:val="7DE44A0D"/>
    <w:rsid w:val="7DF6029C"/>
    <w:rsid w:val="7E062BD5"/>
    <w:rsid w:val="7E132BFC"/>
    <w:rsid w:val="7E154381"/>
    <w:rsid w:val="7E2117BD"/>
    <w:rsid w:val="7E2272E3"/>
    <w:rsid w:val="7E244E09"/>
    <w:rsid w:val="7E4061B1"/>
    <w:rsid w:val="7E7E276B"/>
    <w:rsid w:val="7E8ADEBF"/>
    <w:rsid w:val="7EA67F14"/>
    <w:rsid w:val="7EC30AC6"/>
    <w:rsid w:val="7EC62364"/>
    <w:rsid w:val="7EE03426"/>
    <w:rsid w:val="7EE34CC4"/>
    <w:rsid w:val="7EEF11D3"/>
    <w:rsid w:val="7EF667A6"/>
    <w:rsid w:val="7EF96296"/>
    <w:rsid w:val="7F052E8D"/>
    <w:rsid w:val="7F0709B3"/>
    <w:rsid w:val="7F0971A6"/>
    <w:rsid w:val="7F0A2251"/>
    <w:rsid w:val="7F10538E"/>
    <w:rsid w:val="7F1E5CFC"/>
    <w:rsid w:val="7F392B36"/>
    <w:rsid w:val="7F3F679B"/>
    <w:rsid w:val="7F4D1678"/>
    <w:rsid w:val="7F4F44C1"/>
    <w:rsid w:val="7F4FC4EF"/>
    <w:rsid w:val="7F5E4D54"/>
    <w:rsid w:val="7F606315"/>
    <w:rsid w:val="7F623E3B"/>
    <w:rsid w:val="7F672412"/>
    <w:rsid w:val="7F6E0135"/>
    <w:rsid w:val="7F7973D7"/>
    <w:rsid w:val="7F8244DD"/>
    <w:rsid w:val="7F82628B"/>
    <w:rsid w:val="7F9E0BEB"/>
    <w:rsid w:val="7FA30C79"/>
    <w:rsid w:val="7FAC155A"/>
    <w:rsid w:val="7FAF8ABF"/>
    <w:rsid w:val="7FB7269E"/>
    <w:rsid w:val="7FBF128D"/>
    <w:rsid w:val="7FC96657"/>
    <w:rsid w:val="7FD05249"/>
    <w:rsid w:val="7FDA9588"/>
    <w:rsid w:val="7FDF220F"/>
    <w:rsid w:val="7FE74340"/>
    <w:rsid w:val="7FEDC5F7"/>
    <w:rsid w:val="7FEDD9DE"/>
    <w:rsid w:val="7FF5890D"/>
    <w:rsid w:val="7FF93490"/>
    <w:rsid w:val="7FFF168A"/>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index 5"/>
    <w:basedOn w:val="1"/>
    <w:next w:val="1"/>
    <w:qFormat/>
    <w:uiPriority w:val="99"/>
    <w:pPr>
      <w:jc w:val="center"/>
    </w:pPr>
    <w:rPr>
      <w:rFonts w:ascii="方正小标宋_GBK" w:eastAsia="方正小标宋_GBK"/>
      <w:sz w:val="44"/>
      <w:szCs w:val="44"/>
    </w:rPr>
  </w:style>
  <w:style w:type="paragraph" w:styleId="6">
    <w:name w:val="Body Text"/>
    <w:basedOn w:val="1"/>
    <w:next w:val="5"/>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2"/>
    <w:qFormat/>
    <w:uiPriority w:val="9"/>
    <w:rPr>
      <w:rFonts w:ascii="Times New Roman" w:hAnsi="Times New Roman"/>
      <w:b/>
      <w:bCs/>
      <w:kern w:val="44"/>
      <w:sz w:val="44"/>
      <w:szCs w:val="44"/>
    </w:rPr>
  </w:style>
  <w:style w:type="character" w:customStyle="1" w:styleId="30">
    <w:name w:val="标题 2 字符"/>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0"/>
    <w:semiHidden/>
    <w:qFormat/>
    <w:uiPriority w:val="99"/>
    <w:rPr>
      <w:rFonts w:ascii="Times New Roman" w:hAnsi="Times New Roman"/>
      <w:kern w:val="2"/>
      <w:sz w:val="18"/>
      <w:szCs w:val="18"/>
    </w:rPr>
  </w:style>
  <w:style w:type="character" w:customStyle="1" w:styleId="33">
    <w:name w:val="标题 3 字符"/>
    <w:basedOn w:val="17"/>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1257</Words>
  <Characters>1295</Characters>
  <Lines>220</Lines>
  <Paragraphs>62</Paragraphs>
  <TotalTime>3</TotalTime>
  <ScaleCrop>false</ScaleCrop>
  <LinksUpToDate>false</LinksUpToDate>
  <CharactersWithSpaces>1343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刘鑫</cp:lastModifiedBy>
  <cp:lastPrinted>2026-08-03T09:27:00Z</cp:lastPrinted>
  <dcterms:modified xsi:type="dcterms:W3CDTF">2026-09-10T01:36:20Z</dcterms:modified>
  <dc:title>四川省***</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400D301575C74348A5277D00A7902E06</vt:lpwstr>
  </property>
  <property fmtid="{D5CDD505-2E9C-101B-9397-08002B2CF9AE}" pid="4" name="KSOTemplateDocerSaveRecord">
    <vt:lpwstr>eyJoZGlkIjoiYjM5NmVhODI0ZDM1ZWIwNjk4YWVmYmIzYTMyYTAyYjMiLCJ1c2VySWQiOiI0NTU4ODUyNjcifQ==</vt:lpwstr>
  </property>
</Properties>
</file>